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E2E74" w14:textId="77777777" w:rsidR="008F7B42" w:rsidRPr="008D6D03" w:rsidRDefault="008F7B42" w:rsidP="008D6D03"/>
    <w:p w14:paraId="2D57E326" w14:textId="453F7127" w:rsidR="00A91BFF" w:rsidRPr="00D855B4" w:rsidRDefault="00390083" w:rsidP="00D855B4">
      <w:pPr>
        <w:jc w:val="center"/>
        <w:rPr>
          <w:b/>
          <w:color w:val="ED7D31" w:themeColor="accent2"/>
          <w:sz w:val="40"/>
        </w:rPr>
      </w:pPr>
      <w:r w:rsidRPr="00D855B4">
        <w:rPr>
          <w:b/>
          <w:color w:val="ED7D31" w:themeColor="accent2"/>
          <w:sz w:val="40"/>
        </w:rPr>
        <w:t>REGLEMENT GENERAL DU SALON SMTA ORGANISE PAR L’AGENCE SENEGALAISE DE PROMOTION TOURISTIQUE</w:t>
      </w:r>
    </w:p>
    <w:p w14:paraId="0792CE5B" w14:textId="77777777" w:rsidR="00A91BFF" w:rsidRPr="000D49B2" w:rsidRDefault="00A91BFF" w:rsidP="00A91BFF">
      <w:pPr>
        <w:spacing w:after="0"/>
        <w:jc w:val="both"/>
        <w:rPr>
          <w:b/>
          <w:color w:val="4472C4" w:themeColor="accent1"/>
        </w:rPr>
      </w:pPr>
      <w:r w:rsidRPr="000D49B2">
        <w:rPr>
          <w:b/>
          <w:color w:val="4472C4" w:themeColor="accent1"/>
        </w:rPr>
        <w:t xml:space="preserve">DISPOSITIONS GÉNÉRALES </w:t>
      </w:r>
    </w:p>
    <w:p w14:paraId="61D080F3" w14:textId="77777777" w:rsidR="00A91BFF" w:rsidRDefault="00A91BFF" w:rsidP="00A91BFF">
      <w:pPr>
        <w:spacing w:after="0"/>
        <w:jc w:val="both"/>
        <w:rPr>
          <w:b/>
        </w:rPr>
      </w:pPr>
      <w:r w:rsidRPr="00A91BFF">
        <w:rPr>
          <w:b/>
        </w:rPr>
        <w:t xml:space="preserve">Article premier – Généralités </w:t>
      </w:r>
    </w:p>
    <w:p w14:paraId="7A5ECFB6" w14:textId="77777777" w:rsidR="00A91BFF" w:rsidRPr="00A91BFF" w:rsidRDefault="00A91BFF" w:rsidP="00A91BFF">
      <w:pPr>
        <w:spacing w:after="0"/>
        <w:jc w:val="both"/>
        <w:rPr>
          <w:b/>
          <w:sz w:val="10"/>
        </w:rPr>
      </w:pPr>
    </w:p>
    <w:p w14:paraId="7A97812E" w14:textId="77777777" w:rsidR="001B3B60" w:rsidRDefault="001B3B60" w:rsidP="00A91BFF">
      <w:pPr>
        <w:jc w:val="both"/>
        <w:rPr>
          <w:rFonts w:cstheme="minorHAnsi"/>
        </w:rPr>
        <w:sectPr w:rsidR="001B3B60" w:rsidSect="00C82959">
          <w:headerReference w:type="default" r:id="rId8"/>
          <w:footerReference w:type="default" r:id="rId9"/>
          <w:pgSz w:w="11906" w:h="16838"/>
          <w:pgMar w:top="1134" w:right="1417" w:bottom="1417" w:left="1417" w:header="708" w:footer="708" w:gutter="0"/>
          <w:cols w:space="708"/>
          <w:docGrid w:linePitch="360"/>
        </w:sectPr>
      </w:pPr>
    </w:p>
    <w:p w14:paraId="0A6B403C" w14:textId="1A1389BB" w:rsidR="00A91BFF" w:rsidRPr="001B3B60" w:rsidRDefault="00A91BFF" w:rsidP="00A91BFF">
      <w:pPr>
        <w:jc w:val="both"/>
        <w:rPr>
          <w:rFonts w:cstheme="minorHAnsi"/>
          <w:sz w:val="20"/>
        </w:rPr>
      </w:pPr>
      <w:r w:rsidRPr="001B3B60">
        <w:rPr>
          <w:rFonts w:cstheme="minorHAnsi"/>
          <w:sz w:val="20"/>
        </w:rPr>
        <w:t>Les modalités d’organisation du salon, notamment dates d’ouverture et de fermeture, lieu, prix et publics autorisés son</w:t>
      </w:r>
      <w:r w:rsidR="000D49B2" w:rsidRPr="001B3B60">
        <w:rPr>
          <w:rFonts w:cstheme="minorHAnsi"/>
          <w:sz w:val="20"/>
        </w:rPr>
        <w:t>t déterminées par l’ASPT</w:t>
      </w:r>
      <w:r w:rsidRPr="001B3B60">
        <w:rPr>
          <w:rFonts w:cstheme="minorHAnsi"/>
          <w:sz w:val="20"/>
        </w:rPr>
        <w:t xml:space="preserve"> et peuvent être modifiées </w:t>
      </w:r>
      <w:r w:rsidR="000D49B2" w:rsidRPr="001B3B60">
        <w:rPr>
          <w:rFonts w:cstheme="minorHAnsi"/>
          <w:sz w:val="20"/>
        </w:rPr>
        <w:t>à son initiative. L’ASPT</w:t>
      </w:r>
      <w:r w:rsidRPr="001B3B60">
        <w:rPr>
          <w:rFonts w:cstheme="minorHAnsi"/>
          <w:sz w:val="20"/>
        </w:rPr>
        <w:t xml:space="preserve"> peut annuler ou reporter le salon s’il constate un nombre insuffisants d’inscrits. L’exposant se voit alors restituer le montant de son acompte ou de sa participation. L’exposant déclare avoir conscience de l’éventualité d’une annulation et assume la totalité des risques liés à la non réalisation éventuelle du salon et notamment la charge exclusive des frais qu’il aura engagé en prévision du salon. Dans le cas où, pour des raisons majeures, imprévisibles ou économiques (telles que incendie, inondation, destruction, accident, cas fortuit, grève à l’échelon local ou national, émeute, risque d’insécurité, tempête, menace terroriste, situation sanitaire… à l’échelon local, national ou </w:t>
      </w:r>
      <w:r w:rsidRPr="001B3B60">
        <w:rPr>
          <w:rFonts w:cstheme="minorHAnsi"/>
          <w:sz w:val="20"/>
        </w:rPr>
        <w:t>international), le salon ne peut avoir lieu, les demandes d’admission sont annulées et les sommes disponibles, après paiement des dépenses engagées, sont réparties entre les exposants, au prorata des sommes versées par chacun d’entre eux. L’</w:t>
      </w:r>
      <w:r w:rsidR="000D49B2" w:rsidRPr="001B3B60">
        <w:rPr>
          <w:rFonts w:cstheme="minorHAnsi"/>
          <w:sz w:val="20"/>
        </w:rPr>
        <w:t>exposant confie à l’ASPT</w:t>
      </w:r>
      <w:r w:rsidRPr="001B3B60">
        <w:rPr>
          <w:rFonts w:cstheme="minorHAnsi"/>
          <w:sz w:val="20"/>
        </w:rPr>
        <w:t xml:space="preserve"> le soin d’apprécier si le salon doit être interrompu ou évacué en cas de menace pour la sécurité du public et s’engage à ne pas lui en faire grief a posteriori. L’exposant s’engage à respecter et à faire respecter, les prescriptions du dossier technique qui lui ser</w:t>
      </w:r>
      <w:r w:rsidR="000D49B2" w:rsidRPr="001B3B60">
        <w:rPr>
          <w:rFonts w:cstheme="minorHAnsi"/>
          <w:sz w:val="20"/>
        </w:rPr>
        <w:t>a remis</w:t>
      </w:r>
      <w:r w:rsidRPr="001B3B60">
        <w:rPr>
          <w:rFonts w:cstheme="minorHAnsi"/>
          <w:sz w:val="20"/>
        </w:rPr>
        <w:t xml:space="preserve">. L’exposant est responsable, vis-à-vis de l’organisateur, de la non-observation du cahier des charges imposé par le propriétaire ou le locataire des lieux mis à la disposition de l’organisateur du salon. La </w:t>
      </w:r>
      <w:r w:rsidR="001B3B60" w:rsidRPr="001B3B60">
        <w:rPr>
          <w:rFonts w:cstheme="minorHAnsi"/>
          <w:sz w:val="20"/>
        </w:rPr>
        <w:t>responsabilité de l’ASPT</w:t>
      </w:r>
      <w:r w:rsidRPr="001B3B60">
        <w:rPr>
          <w:rFonts w:cstheme="minorHAnsi"/>
          <w:sz w:val="20"/>
        </w:rPr>
        <w:t xml:space="preserve"> n’est pas engagée lorsqu’il fait application des stipulations du présent règlement général. </w:t>
      </w:r>
    </w:p>
    <w:p w14:paraId="3C9EA058" w14:textId="77777777" w:rsidR="001B3B60" w:rsidRPr="001B3B60" w:rsidRDefault="001B3B60" w:rsidP="00A91BFF">
      <w:pPr>
        <w:jc w:val="both"/>
        <w:rPr>
          <w:b/>
          <w:color w:val="4472C4" w:themeColor="accent1"/>
          <w:sz w:val="20"/>
        </w:rPr>
        <w:sectPr w:rsidR="001B3B60" w:rsidRPr="001B3B60" w:rsidSect="001B3B60">
          <w:type w:val="continuous"/>
          <w:pgSz w:w="11906" w:h="16838"/>
          <w:pgMar w:top="1417" w:right="1417" w:bottom="1417" w:left="1417" w:header="708" w:footer="708" w:gutter="0"/>
          <w:cols w:num="2" w:space="708"/>
          <w:docGrid w:linePitch="360"/>
        </w:sectPr>
      </w:pPr>
    </w:p>
    <w:p w14:paraId="4591892A" w14:textId="2143AF09" w:rsidR="00A91BFF" w:rsidRPr="000D49B2" w:rsidRDefault="00A91BFF" w:rsidP="001B3B60">
      <w:pPr>
        <w:spacing w:after="0"/>
        <w:jc w:val="both"/>
        <w:rPr>
          <w:b/>
          <w:color w:val="4472C4" w:themeColor="accent1"/>
        </w:rPr>
      </w:pPr>
      <w:r w:rsidRPr="000D49B2">
        <w:rPr>
          <w:b/>
          <w:color w:val="4472C4" w:themeColor="accent1"/>
        </w:rPr>
        <w:t xml:space="preserve">PARTICIPATION </w:t>
      </w:r>
    </w:p>
    <w:p w14:paraId="0FFDFD7E" w14:textId="77777777" w:rsidR="00A91BFF" w:rsidRPr="00A91BFF" w:rsidRDefault="00A91BFF" w:rsidP="001B3B60">
      <w:pPr>
        <w:spacing w:after="0"/>
        <w:jc w:val="both"/>
        <w:rPr>
          <w:b/>
        </w:rPr>
      </w:pPr>
      <w:r w:rsidRPr="00A91BFF">
        <w:rPr>
          <w:b/>
        </w:rPr>
        <w:t xml:space="preserve">Article 2 – Conditions de participation </w:t>
      </w:r>
    </w:p>
    <w:p w14:paraId="7A583520" w14:textId="77777777" w:rsidR="00A91BFF" w:rsidRDefault="00A91BFF" w:rsidP="001B3B60">
      <w:pPr>
        <w:spacing w:after="0"/>
        <w:jc w:val="both"/>
        <w:rPr>
          <w:b/>
        </w:rPr>
      </w:pPr>
      <w:r w:rsidRPr="00A91BFF">
        <w:rPr>
          <w:b/>
        </w:rPr>
        <w:t xml:space="preserve">2.1. L’organisateur détermine les catégories d’exposants et établit la nomenclature des produits et/ou services présentés. </w:t>
      </w:r>
    </w:p>
    <w:p w14:paraId="162BB4A4" w14:textId="77777777" w:rsidR="00A91BFF" w:rsidRPr="00A91BFF" w:rsidRDefault="00A91BFF" w:rsidP="00A91BFF">
      <w:pPr>
        <w:spacing w:after="0"/>
        <w:jc w:val="both"/>
        <w:rPr>
          <w:b/>
          <w:sz w:val="10"/>
        </w:rPr>
      </w:pPr>
    </w:p>
    <w:p w14:paraId="67044BF6" w14:textId="77777777" w:rsidR="001B3B60" w:rsidRDefault="001B3B60" w:rsidP="00A91BFF">
      <w:pPr>
        <w:jc w:val="both"/>
        <w:sectPr w:rsidR="001B3B60" w:rsidSect="001B3B60">
          <w:type w:val="continuous"/>
          <w:pgSz w:w="11906" w:h="16838"/>
          <w:pgMar w:top="1417" w:right="1417" w:bottom="1417" w:left="1417" w:header="708" w:footer="708" w:gutter="0"/>
          <w:cols w:space="708"/>
          <w:docGrid w:linePitch="360"/>
        </w:sectPr>
      </w:pPr>
    </w:p>
    <w:p w14:paraId="127B4962" w14:textId="5BF7651C" w:rsidR="00506A6A" w:rsidRDefault="00A91BFF" w:rsidP="00A91BFF">
      <w:pPr>
        <w:jc w:val="both"/>
        <w:rPr>
          <w:sz w:val="20"/>
        </w:rPr>
        <w:sectPr w:rsidR="00506A6A" w:rsidSect="001B3B60">
          <w:type w:val="continuous"/>
          <w:pgSz w:w="11906" w:h="16838"/>
          <w:pgMar w:top="1417" w:right="1417" w:bottom="1417" w:left="1417" w:header="708" w:footer="708" w:gutter="0"/>
          <w:cols w:num="2" w:space="708"/>
          <w:docGrid w:linePitch="360"/>
        </w:sectPr>
      </w:pPr>
      <w:r w:rsidRPr="001B3B60">
        <w:rPr>
          <w:sz w:val="20"/>
        </w:rPr>
        <w:t>Un exposant ne peut présenter que des produits ou services de sa fabrication ou conception ou dont il est agent ou concessionnaire</w:t>
      </w:r>
      <w:r w:rsidR="001B3B60">
        <w:rPr>
          <w:sz w:val="20"/>
        </w:rPr>
        <w:t>. L’ASPT</w:t>
      </w:r>
      <w:r w:rsidRPr="001B3B60">
        <w:rPr>
          <w:sz w:val="20"/>
        </w:rPr>
        <w:t xml:space="preserve"> peut, après examen, exclure les produits et/ou services ne lui paraissant pas correspondre à l’objet du salon ou admettre ceux ne faisant pas partie de la nomenclature mais présentant un intérêt pour le salon. Les ventes comportant livraison immédiate et sur place à l’acheteur sont interdites. En application des dispositions relatives aux manifestations </w:t>
      </w:r>
      <w:r w:rsidRPr="001B3B60">
        <w:rPr>
          <w:sz w:val="20"/>
        </w:rPr>
        <w:t>commerciales, un exposant ne peut ni présenter des produits non-conform</w:t>
      </w:r>
      <w:r w:rsidR="001B3B60">
        <w:rPr>
          <w:sz w:val="20"/>
        </w:rPr>
        <w:t>es à la réglementation sénégalaise</w:t>
      </w:r>
      <w:r w:rsidR="00506A6A">
        <w:rPr>
          <w:sz w:val="20"/>
        </w:rPr>
        <w:t>.</w:t>
      </w:r>
      <w:r w:rsidRPr="001B3B60">
        <w:rPr>
          <w:sz w:val="20"/>
        </w:rPr>
        <w:t xml:space="preserve"> L’offre présentée par les exposants doit être en adéquation avec l’ordre public et les lois en vigueur. A ce titre, il est formellement interdit aux exposants d’exposer des produits illicites ou provenant d’activités illicites. Il est également interdit à toutes personnes non habilitées par la loi de proposer des prestations ou produits rel</w:t>
      </w:r>
      <w:r w:rsidR="00506A6A">
        <w:rPr>
          <w:sz w:val="20"/>
        </w:rPr>
        <w:t>evant d’activités réglementées</w:t>
      </w:r>
    </w:p>
    <w:p w14:paraId="53F28621" w14:textId="77777777" w:rsidR="00506A6A" w:rsidRPr="001B3B60" w:rsidRDefault="00506A6A" w:rsidP="001B3B60">
      <w:pPr>
        <w:rPr>
          <w:sz w:val="20"/>
        </w:rPr>
        <w:sectPr w:rsidR="00506A6A" w:rsidRPr="001B3B60" w:rsidSect="001B3B60">
          <w:type w:val="continuous"/>
          <w:pgSz w:w="11906" w:h="16838"/>
          <w:pgMar w:top="1417" w:right="1417" w:bottom="1417" w:left="1417" w:header="708" w:footer="708" w:gutter="0"/>
          <w:cols w:space="708"/>
          <w:docGrid w:linePitch="360"/>
        </w:sectPr>
      </w:pPr>
    </w:p>
    <w:p w14:paraId="5D47FB2D" w14:textId="77777777" w:rsidR="00506A6A" w:rsidRDefault="00A91BFF" w:rsidP="00A91BFF">
      <w:pPr>
        <w:jc w:val="both"/>
        <w:rPr>
          <w:sz w:val="20"/>
        </w:rPr>
      </w:pPr>
      <w:r w:rsidRPr="001B3B60">
        <w:rPr>
          <w:sz w:val="20"/>
        </w:rPr>
        <w:lastRenderedPageBreak/>
        <w:t xml:space="preserve">Les exposants qui enfreindraient ces dispositions pourront faire l’objet de poursuites sans préjudice des mesures que pourrait prendre l’organisateur pour faire cesser cette infraction. Les exposants assument l’entière responsabilité de leurs produits et de leurs actes vis-à-vis des tiers, la </w:t>
      </w:r>
      <w:r w:rsidR="00506A6A">
        <w:rPr>
          <w:sz w:val="20"/>
        </w:rPr>
        <w:t xml:space="preserve">responsabilité de l’ASPT </w:t>
      </w:r>
      <w:r w:rsidRPr="001B3B60">
        <w:rPr>
          <w:sz w:val="20"/>
        </w:rPr>
        <w:t xml:space="preserve">ne pouvant, en aucune façon, être engagée. . </w:t>
      </w:r>
    </w:p>
    <w:p w14:paraId="3201B17F" w14:textId="2FF869C1" w:rsidR="001B3B60" w:rsidRDefault="00A91BFF" w:rsidP="00A91BFF">
      <w:pPr>
        <w:jc w:val="both"/>
        <w:rPr>
          <w:sz w:val="20"/>
        </w:rPr>
        <w:sectPr w:rsidR="001B3B60" w:rsidSect="001B3B60">
          <w:type w:val="continuous"/>
          <w:pgSz w:w="11906" w:h="16838"/>
          <w:pgMar w:top="1417" w:right="1417" w:bottom="1417" w:left="1417" w:header="708" w:footer="708" w:gutter="0"/>
          <w:cols w:num="2" w:space="708"/>
          <w:docGrid w:linePitch="360"/>
        </w:sectPr>
      </w:pPr>
      <w:r w:rsidRPr="001B3B60">
        <w:rPr>
          <w:sz w:val="20"/>
        </w:rPr>
        <w:t>En cas de demande formulée par un tiers contre l’organisateur, au titre d’un acte ou d’un produit d’un exposant, l’exposant concerné indemnisera l’organisateur de l’ensemble des frais raisonnablement engagés par l’organisateur pour sa défense et des éventuelles cond</w:t>
      </w:r>
      <w:r w:rsidR="00506A6A">
        <w:rPr>
          <w:sz w:val="20"/>
        </w:rPr>
        <w:t>amnations qu’il aurait à subir</w:t>
      </w:r>
      <w:r w:rsidR="008C55B8">
        <w:rPr>
          <w:sz w:val="20"/>
        </w:rPr>
        <w:t>.</w:t>
      </w:r>
      <w:bookmarkStart w:id="0" w:name="_GoBack"/>
      <w:bookmarkEnd w:id="0"/>
    </w:p>
    <w:p w14:paraId="283ECFAD" w14:textId="77777777" w:rsidR="001B3B60" w:rsidRDefault="001B3B60" w:rsidP="00A91BFF">
      <w:pPr>
        <w:jc w:val="both"/>
        <w:rPr>
          <w:sz w:val="20"/>
        </w:rPr>
        <w:sectPr w:rsidR="001B3B60" w:rsidSect="001B3B60">
          <w:type w:val="continuous"/>
          <w:pgSz w:w="11906" w:h="16838"/>
          <w:pgMar w:top="1417" w:right="1417" w:bottom="1417" w:left="1417" w:header="708" w:footer="708" w:gutter="0"/>
          <w:cols w:num="2" w:space="708"/>
          <w:docGrid w:linePitch="360"/>
        </w:sectPr>
      </w:pPr>
    </w:p>
    <w:p w14:paraId="64814D95" w14:textId="77777777" w:rsidR="001B3B60" w:rsidRDefault="001B3B60" w:rsidP="00A91BFF">
      <w:pPr>
        <w:jc w:val="both"/>
        <w:rPr>
          <w:b/>
        </w:rPr>
        <w:sectPr w:rsidR="001B3B60" w:rsidSect="001B3B60">
          <w:type w:val="continuous"/>
          <w:pgSz w:w="11906" w:h="16838"/>
          <w:pgMar w:top="1417" w:right="1417" w:bottom="1417" w:left="1417" w:header="708" w:footer="708" w:gutter="0"/>
          <w:cols w:num="2" w:space="708"/>
          <w:docGrid w:linePitch="360"/>
        </w:sectPr>
      </w:pPr>
    </w:p>
    <w:p w14:paraId="2B946459" w14:textId="2AE313F4" w:rsidR="00A91BFF" w:rsidRPr="00A91BFF" w:rsidRDefault="00A91BFF" w:rsidP="00A91BFF">
      <w:pPr>
        <w:jc w:val="both"/>
        <w:rPr>
          <w:b/>
        </w:rPr>
      </w:pPr>
      <w:r w:rsidRPr="00A91BFF">
        <w:rPr>
          <w:b/>
        </w:rPr>
        <w:t xml:space="preserve">2.2. Garde des matériels - charge des risques </w:t>
      </w:r>
    </w:p>
    <w:p w14:paraId="7267DA57" w14:textId="77777777" w:rsidR="00506A6A" w:rsidRDefault="00506A6A" w:rsidP="00A91BFF">
      <w:pPr>
        <w:jc w:val="both"/>
        <w:sectPr w:rsidR="00506A6A" w:rsidSect="001B3B60">
          <w:type w:val="continuous"/>
          <w:pgSz w:w="11906" w:h="16838"/>
          <w:pgMar w:top="1417" w:right="1417" w:bottom="1417" w:left="1417" w:header="708" w:footer="708" w:gutter="0"/>
          <w:cols w:space="708"/>
          <w:docGrid w:linePitch="360"/>
        </w:sectPr>
      </w:pPr>
    </w:p>
    <w:p w14:paraId="77731A5C" w14:textId="0AF52196" w:rsidR="00506A6A" w:rsidRPr="00506A6A" w:rsidRDefault="00A91BFF" w:rsidP="00A91BFF">
      <w:pPr>
        <w:jc w:val="both"/>
        <w:rPr>
          <w:sz w:val="20"/>
        </w:rPr>
        <w:sectPr w:rsidR="00506A6A" w:rsidRPr="00506A6A" w:rsidSect="00506A6A">
          <w:type w:val="continuous"/>
          <w:pgSz w:w="11906" w:h="16838"/>
          <w:pgMar w:top="1417" w:right="1417" w:bottom="1417" w:left="1417" w:header="708" w:footer="708" w:gutter="0"/>
          <w:cols w:num="2" w:space="708"/>
          <w:docGrid w:linePitch="360"/>
        </w:sectPr>
      </w:pPr>
      <w:r w:rsidRPr="00506A6A">
        <w:rPr>
          <w:sz w:val="20"/>
        </w:rPr>
        <w:t xml:space="preserve">L’exposant reste seul gardien et responsable des biens exposés, et, plus généralement, de l’ensemble de ses matériels, tout au long du salon (7 jours sur 7, 24 heures sur 24), montage, démontage, manutentions, déplacements et transports inclus, la responsabilité de l’organisateur ne pouvant donc, en aucune façon, être engagée du fait de ces éléments. L’exposant accepte par ailleurs expressément de supporter seul l’intégralité des risques auxquels peuvent être exposés les biens et </w:t>
      </w:r>
      <w:r w:rsidRPr="00506A6A">
        <w:rPr>
          <w:sz w:val="20"/>
        </w:rPr>
        <w:t xml:space="preserve">matériels visés ci-dessus. Il est tenu, dans le respect du règlement de sécurité, de prendre toutes les mesures susceptibles de les protéger, ces mesures n’incombant en aucune façon à l’organisateur. Il appartient notamment à l’exposant de décider des modalités de gardiennage de ces biens et matériels (tel que coffre-fort, mise sous vitrine, affectation de ses propres gardiens sur le stand, etc.). Le tout, en tant que de besoin, par dérogation expresse à toute disposition légale contraire. </w:t>
      </w:r>
    </w:p>
    <w:p w14:paraId="1E4402C1" w14:textId="77777777" w:rsidR="00506A6A" w:rsidRPr="00506A6A" w:rsidRDefault="00506A6A" w:rsidP="00A91BFF">
      <w:pPr>
        <w:jc w:val="both"/>
        <w:rPr>
          <w:b/>
          <w:sz w:val="2"/>
        </w:rPr>
      </w:pPr>
    </w:p>
    <w:p w14:paraId="0A690399" w14:textId="1530427B" w:rsidR="00A91BFF" w:rsidRPr="00A91BFF" w:rsidRDefault="00A91BFF" w:rsidP="00A91BFF">
      <w:pPr>
        <w:jc w:val="both"/>
        <w:rPr>
          <w:b/>
        </w:rPr>
      </w:pPr>
      <w:r w:rsidRPr="00A91BFF">
        <w:rPr>
          <w:b/>
        </w:rPr>
        <w:t xml:space="preserve">Article 3 – Demande de participation </w:t>
      </w:r>
    </w:p>
    <w:p w14:paraId="21D4F853" w14:textId="77777777" w:rsidR="00506A6A" w:rsidRDefault="00506A6A" w:rsidP="00A91BFF">
      <w:pPr>
        <w:jc w:val="both"/>
        <w:sectPr w:rsidR="00506A6A" w:rsidSect="001B3B60">
          <w:type w:val="continuous"/>
          <w:pgSz w:w="11906" w:h="16838"/>
          <w:pgMar w:top="1417" w:right="1417" w:bottom="1417" w:left="1417" w:header="708" w:footer="708" w:gutter="0"/>
          <w:cols w:space="708"/>
          <w:docGrid w:linePitch="360"/>
        </w:sectPr>
      </w:pPr>
    </w:p>
    <w:p w14:paraId="2F57C2BB" w14:textId="6089364D" w:rsidR="00A91BFF" w:rsidRPr="00506A6A" w:rsidRDefault="00A91BFF" w:rsidP="00A91BFF">
      <w:pPr>
        <w:jc w:val="both"/>
        <w:rPr>
          <w:sz w:val="20"/>
        </w:rPr>
      </w:pPr>
      <w:r w:rsidRPr="00506A6A">
        <w:rPr>
          <w:sz w:val="20"/>
        </w:rPr>
        <w:t xml:space="preserve">Toute personne désirant </w:t>
      </w:r>
      <w:r w:rsidR="00506A6A" w:rsidRPr="00506A6A">
        <w:rPr>
          <w:sz w:val="20"/>
        </w:rPr>
        <w:t>exposer adresse à l’ASPT</w:t>
      </w:r>
      <w:r w:rsidRPr="00506A6A">
        <w:rPr>
          <w:sz w:val="20"/>
        </w:rPr>
        <w:t xml:space="preserve"> une demande de parti</w:t>
      </w:r>
      <w:r w:rsidR="00506A6A">
        <w:rPr>
          <w:sz w:val="20"/>
        </w:rPr>
        <w:t>cipation. Sauf si l’ASPT</w:t>
      </w:r>
      <w:r w:rsidRPr="00506A6A">
        <w:rPr>
          <w:sz w:val="20"/>
        </w:rPr>
        <w:t xml:space="preserve"> refuse la participation demandée, l’envoi de cette </w:t>
      </w:r>
      <w:r w:rsidRPr="00506A6A">
        <w:rPr>
          <w:sz w:val="20"/>
        </w:rPr>
        <w:t xml:space="preserve">demande de participation constitue un engagement ferme et irrévocable de payer l’intégralité du prix de la prestation d’organisation et des frais annexes. </w:t>
      </w:r>
    </w:p>
    <w:p w14:paraId="06424D90" w14:textId="77777777" w:rsidR="00506A6A" w:rsidRDefault="00506A6A" w:rsidP="00A91BFF">
      <w:pPr>
        <w:jc w:val="both"/>
        <w:rPr>
          <w:b/>
        </w:rPr>
        <w:sectPr w:rsidR="00506A6A" w:rsidSect="00506A6A">
          <w:type w:val="continuous"/>
          <w:pgSz w:w="11906" w:h="16838"/>
          <w:pgMar w:top="1417" w:right="1417" w:bottom="1417" w:left="1417" w:header="708" w:footer="708" w:gutter="0"/>
          <w:cols w:num="2" w:space="708"/>
          <w:docGrid w:linePitch="360"/>
        </w:sectPr>
      </w:pPr>
    </w:p>
    <w:p w14:paraId="39FA83BF" w14:textId="02475987" w:rsidR="00A91BFF" w:rsidRPr="00A91BFF" w:rsidRDefault="00A91BFF" w:rsidP="00A91BFF">
      <w:pPr>
        <w:jc w:val="both"/>
        <w:rPr>
          <w:b/>
        </w:rPr>
      </w:pPr>
      <w:r w:rsidRPr="00A91BFF">
        <w:rPr>
          <w:b/>
        </w:rPr>
        <w:t>Article 4 – Contrôle des admissions</w:t>
      </w:r>
    </w:p>
    <w:p w14:paraId="0A271499" w14:textId="77777777" w:rsidR="00210DFA" w:rsidRDefault="00210DFA" w:rsidP="00A91BFF">
      <w:pPr>
        <w:jc w:val="both"/>
        <w:rPr>
          <w:sz w:val="20"/>
        </w:rPr>
        <w:sectPr w:rsidR="00210DFA" w:rsidSect="001B3B60">
          <w:type w:val="continuous"/>
          <w:pgSz w:w="11906" w:h="16838"/>
          <w:pgMar w:top="1417" w:right="1417" w:bottom="1417" w:left="1417" w:header="708" w:footer="708" w:gutter="0"/>
          <w:cols w:space="708"/>
          <w:docGrid w:linePitch="360"/>
        </w:sectPr>
      </w:pPr>
    </w:p>
    <w:p w14:paraId="7DE952AC" w14:textId="7EF145BA" w:rsidR="00210DFA" w:rsidRDefault="00210DFA" w:rsidP="00A91BFF">
      <w:pPr>
        <w:jc w:val="both"/>
        <w:rPr>
          <w:sz w:val="20"/>
        </w:rPr>
        <w:sectPr w:rsidR="00210DFA" w:rsidSect="00210DFA">
          <w:type w:val="continuous"/>
          <w:pgSz w:w="11906" w:h="16838"/>
          <w:pgMar w:top="1417" w:right="1417" w:bottom="1417" w:left="1417" w:header="708" w:footer="708" w:gutter="0"/>
          <w:cols w:num="2" w:space="708"/>
          <w:docGrid w:linePitch="360"/>
        </w:sectPr>
      </w:pPr>
      <w:r>
        <w:rPr>
          <w:sz w:val="20"/>
        </w:rPr>
        <w:t>L’ASPT</w:t>
      </w:r>
      <w:r w:rsidR="00A91BFF" w:rsidRPr="00210DFA">
        <w:rPr>
          <w:sz w:val="20"/>
        </w:rPr>
        <w:t xml:space="preserve"> n’est pas tenu de motiver ses décisions quant aux demandes de participation.</w:t>
      </w:r>
      <w:r>
        <w:rPr>
          <w:sz w:val="20"/>
        </w:rPr>
        <w:t xml:space="preserve"> </w:t>
      </w:r>
      <w:r w:rsidR="00A91BFF" w:rsidRPr="00210DFA">
        <w:rPr>
          <w:sz w:val="20"/>
        </w:rPr>
        <w:t xml:space="preserve">L’acceptation de la participation est constatée </w:t>
      </w:r>
      <w:r>
        <w:rPr>
          <w:sz w:val="20"/>
        </w:rPr>
        <w:t xml:space="preserve">par la réponse de </w:t>
      </w:r>
      <w:r>
        <w:rPr>
          <w:sz w:val="20"/>
        </w:rPr>
        <w:t>l’ASPT</w:t>
      </w:r>
      <w:r w:rsidR="00A91BFF" w:rsidRPr="00210DFA">
        <w:rPr>
          <w:sz w:val="20"/>
        </w:rPr>
        <w:t xml:space="preserve"> à l’exposant. Cette réponse peut consister en une facture adressée à l’exposant.</w:t>
      </w:r>
    </w:p>
    <w:p w14:paraId="1415A629" w14:textId="2344953D" w:rsidR="000D49B2" w:rsidRPr="00210DFA" w:rsidRDefault="00A91BFF" w:rsidP="00A91BFF">
      <w:pPr>
        <w:jc w:val="both"/>
        <w:rPr>
          <w:sz w:val="20"/>
        </w:rPr>
      </w:pPr>
      <w:r w:rsidRPr="00210DFA">
        <w:rPr>
          <w:sz w:val="20"/>
        </w:rPr>
        <w:t xml:space="preserve">. </w:t>
      </w:r>
    </w:p>
    <w:p w14:paraId="248328DD" w14:textId="77777777" w:rsidR="00A91BFF" w:rsidRPr="00A91BFF" w:rsidRDefault="00A91BFF" w:rsidP="00A91BFF">
      <w:pPr>
        <w:jc w:val="both"/>
        <w:rPr>
          <w:b/>
        </w:rPr>
      </w:pPr>
      <w:r w:rsidRPr="00A91BFF">
        <w:rPr>
          <w:b/>
        </w:rPr>
        <w:t xml:space="preserve">Article 5 – Disposition de l’espace d’exposition </w:t>
      </w:r>
    </w:p>
    <w:p w14:paraId="67D55BCA" w14:textId="77777777" w:rsidR="00210DFA" w:rsidRDefault="00210DFA" w:rsidP="00A91BFF">
      <w:pPr>
        <w:jc w:val="both"/>
        <w:rPr>
          <w:sz w:val="20"/>
        </w:rPr>
        <w:sectPr w:rsidR="00210DFA" w:rsidSect="001B3B60">
          <w:type w:val="continuous"/>
          <w:pgSz w:w="11906" w:h="16838"/>
          <w:pgMar w:top="1417" w:right="1417" w:bottom="1417" w:left="1417" w:header="708" w:footer="708" w:gutter="0"/>
          <w:cols w:space="708"/>
          <w:docGrid w:linePitch="360"/>
        </w:sectPr>
      </w:pPr>
    </w:p>
    <w:p w14:paraId="19B1B80E" w14:textId="77777777" w:rsidR="00210DFA" w:rsidRDefault="00A91BFF" w:rsidP="00A91BFF">
      <w:pPr>
        <w:jc w:val="both"/>
        <w:rPr>
          <w:sz w:val="20"/>
        </w:rPr>
      </w:pPr>
      <w:r w:rsidRPr="00210DFA">
        <w:rPr>
          <w:sz w:val="20"/>
        </w:rPr>
        <w:t>Sauf autorisation écrit</w:t>
      </w:r>
      <w:r w:rsidR="00210DFA">
        <w:rPr>
          <w:sz w:val="20"/>
        </w:rPr>
        <w:t>e et préalable de l’ASPT</w:t>
      </w:r>
      <w:r w:rsidRPr="00210DFA">
        <w:rPr>
          <w:sz w:val="20"/>
        </w:rPr>
        <w:t xml:space="preserve">, un exposant, dans le cadre de la prestation d’organisation qu’il a acquis, ne peut céder, sous-louer ou partager, à titre onéreux ou gratuit, tout ou partie de l’espace ou des services dont il dispose dans l’enceinte du salon. Néanmoins, plusieurs exposants peuvent être autorisés à réaliser une </w:t>
      </w:r>
      <w:r w:rsidRPr="00210DFA">
        <w:rPr>
          <w:sz w:val="20"/>
        </w:rPr>
        <w:t>présentation d’ensemble, à condition que chacun d’eux ait obtenu au préalable l’ag</w:t>
      </w:r>
      <w:r w:rsidR="00210DFA">
        <w:rPr>
          <w:sz w:val="20"/>
        </w:rPr>
        <w:t>rément de l’ASPT.</w:t>
      </w:r>
    </w:p>
    <w:p w14:paraId="0A3D924C" w14:textId="51EEB9FE" w:rsidR="00A91BFF" w:rsidRPr="00210DFA" w:rsidRDefault="00A91BFF" w:rsidP="00A91BFF">
      <w:pPr>
        <w:jc w:val="both"/>
        <w:rPr>
          <w:sz w:val="20"/>
        </w:rPr>
      </w:pPr>
      <w:r w:rsidRPr="00210DFA">
        <w:rPr>
          <w:sz w:val="20"/>
        </w:rPr>
        <w:t xml:space="preserve"> </w:t>
      </w:r>
    </w:p>
    <w:p w14:paraId="54686033" w14:textId="77777777" w:rsidR="00210DFA" w:rsidRDefault="00210DFA" w:rsidP="00A91BFF">
      <w:pPr>
        <w:jc w:val="both"/>
      </w:pPr>
    </w:p>
    <w:p w14:paraId="72DFF920" w14:textId="77777777" w:rsidR="00210DFA" w:rsidRDefault="00210DFA" w:rsidP="00A91BFF">
      <w:pPr>
        <w:jc w:val="both"/>
        <w:sectPr w:rsidR="00210DFA" w:rsidSect="00210DFA">
          <w:type w:val="continuous"/>
          <w:pgSz w:w="11906" w:h="16838"/>
          <w:pgMar w:top="1417" w:right="1417" w:bottom="1417" w:left="1417" w:header="708" w:footer="708" w:gutter="0"/>
          <w:cols w:num="2" w:space="708"/>
          <w:docGrid w:linePitch="360"/>
        </w:sectPr>
      </w:pPr>
    </w:p>
    <w:p w14:paraId="77221DC9" w14:textId="77777777" w:rsidR="00A91BFF" w:rsidRPr="00A91BFF" w:rsidRDefault="00A91BFF" w:rsidP="00A91BFF">
      <w:pPr>
        <w:jc w:val="both"/>
        <w:rPr>
          <w:b/>
        </w:rPr>
      </w:pPr>
      <w:r>
        <w:lastRenderedPageBreak/>
        <w:t xml:space="preserve"> </w:t>
      </w:r>
      <w:r w:rsidRPr="00A91BFF">
        <w:rPr>
          <w:b/>
        </w:rPr>
        <w:t xml:space="preserve">Article 6 – Retrait </w:t>
      </w:r>
    </w:p>
    <w:p w14:paraId="0F145BC2" w14:textId="77777777" w:rsidR="002B1C1D" w:rsidRDefault="002B1C1D" w:rsidP="00A91BFF">
      <w:pPr>
        <w:jc w:val="both"/>
        <w:rPr>
          <w:sz w:val="20"/>
        </w:rPr>
        <w:sectPr w:rsidR="002B1C1D" w:rsidSect="001B3B60">
          <w:type w:val="continuous"/>
          <w:pgSz w:w="11906" w:h="16838"/>
          <w:pgMar w:top="1417" w:right="1417" w:bottom="1417" w:left="1417" w:header="708" w:footer="708" w:gutter="0"/>
          <w:cols w:space="708"/>
          <w:docGrid w:linePitch="360"/>
        </w:sectPr>
      </w:pPr>
    </w:p>
    <w:p w14:paraId="3B5D921C" w14:textId="16BED1D5" w:rsidR="00A91BFF" w:rsidRPr="00210DFA" w:rsidRDefault="00A91BFF" w:rsidP="00A91BFF">
      <w:pPr>
        <w:jc w:val="both"/>
        <w:rPr>
          <w:sz w:val="20"/>
        </w:rPr>
      </w:pPr>
      <w:r w:rsidRPr="00210DFA">
        <w:rPr>
          <w:sz w:val="20"/>
        </w:rPr>
        <w:t>En cas de désistement ou de non occupation de l’espace d’exposition pour une cause quelconque, de même qu’en cas d’annulation, les sommes versées et/ou restant dues partiellement ou totalement, au titre de</w:t>
      </w:r>
      <w:r w:rsidR="002B1C1D">
        <w:rPr>
          <w:sz w:val="20"/>
        </w:rPr>
        <w:t xml:space="preserve"> location de stand, sont acquises par l’ASPT</w:t>
      </w:r>
      <w:r w:rsidRPr="00210DFA">
        <w:rPr>
          <w:sz w:val="20"/>
        </w:rPr>
        <w:t xml:space="preserve"> même si un autre exposant vient à bénéficier de l’espace d’exposition. Dans le cas où un exposant, pour une cause quelconque, n’occupe pas son espace d’exposition 24 heures avant </w:t>
      </w:r>
      <w:r w:rsidRPr="00210DFA">
        <w:rPr>
          <w:sz w:val="20"/>
        </w:rPr>
        <w:t xml:space="preserve">l’ouverture du salon, il est </w:t>
      </w:r>
      <w:r w:rsidR="002B1C1D">
        <w:rPr>
          <w:sz w:val="20"/>
        </w:rPr>
        <w:t>considéré comme démissionnaire. L’ASPT</w:t>
      </w:r>
      <w:r w:rsidRPr="00210DFA">
        <w:rPr>
          <w:sz w:val="20"/>
        </w:rPr>
        <w:t xml:space="preserve"> peut librement disposer de l’espace d’exposition de l’exposant défaillant sans que ce dernier puisse réclamer ni remboursement ni indemnité et supprimer tout visuel relatif aux produits de l’exposant défaillant. </w:t>
      </w:r>
    </w:p>
    <w:p w14:paraId="6FA9A79A" w14:textId="77777777" w:rsidR="002B1C1D" w:rsidRDefault="002B1C1D" w:rsidP="00A91BFF">
      <w:pPr>
        <w:jc w:val="both"/>
        <w:rPr>
          <w:b/>
          <w:color w:val="4472C4" w:themeColor="accent1"/>
        </w:rPr>
      </w:pPr>
    </w:p>
    <w:p w14:paraId="5A8FC18B" w14:textId="77777777" w:rsidR="002B1C1D" w:rsidRDefault="002B1C1D" w:rsidP="00A91BFF">
      <w:pPr>
        <w:jc w:val="both"/>
        <w:rPr>
          <w:b/>
          <w:color w:val="4472C4" w:themeColor="accent1"/>
        </w:rPr>
        <w:sectPr w:rsidR="002B1C1D" w:rsidSect="002B1C1D">
          <w:type w:val="continuous"/>
          <w:pgSz w:w="11906" w:h="16838"/>
          <w:pgMar w:top="1417" w:right="1417" w:bottom="1417" w:left="1417" w:header="708" w:footer="708" w:gutter="0"/>
          <w:cols w:num="2" w:space="708"/>
          <w:docGrid w:linePitch="360"/>
        </w:sectPr>
      </w:pPr>
    </w:p>
    <w:p w14:paraId="3184A82E" w14:textId="77777777" w:rsidR="002B1C1D" w:rsidRPr="003666A0" w:rsidRDefault="002B1C1D" w:rsidP="00A91BFF">
      <w:pPr>
        <w:jc w:val="both"/>
        <w:rPr>
          <w:b/>
          <w:color w:val="4472C4" w:themeColor="accent1"/>
          <w:sz w:val="8"/>
        </w:rPr>
      </w:pPr>
    </w:p>
    <w:p w14:paraId="22FAB59D" w14:textId="1B10D435" w:rsidR="00A91BFF" w:rsidRPr="000D49B2" w:rsidRDefault="00A91BFF" w:rsidP="00A91BFF">
      <w:pPr>
        <w:jc w:val="both"/>
        <w:rPr>
          <w:b/>
          <w:color w:val="4472C4" w:themeColor="accent1"/>
        </w:rPr>
      </w:pPr>
      <w:r w:rsidRPr="000D49B2">
        <w:rPr>
          <w:b/>
          <w:color w:val="4472C4" w:themeColor="accent1"/>
        </w:rPr>
        <w:t xml:space="preserve">PARTICIPATION FINANCIÈRE </w:t>
      </w:r>
    </w:p>
    <w:p w14:paraId="726CD61A" w14:textId="269D904E" w:rsidR="00A91BFF" w:rsidRPr="00A91BFF" w:rsidRDefault="00A91BFF" w:rsidP="00A91BFF">
      <w:pPr>
        <w:jc w:val="both"/>
        <w:rPr>
          <w:b/>
        </w:rPr>
      </w:pPr>
      <w:r w:rsidRPr="00A91BFF">
        <w:rPr>
          <w:b/>
        </w:rPr>
        <w:t xml:space="preserve">Article 7 – Prix </w:t>
      </w:r>
      <w:r w:rsidR="002B1C1D">
        <w:rPr>
          <w:b/>
        </w:rPr>
        <w:t>de la location de stand</w:t>
      </w:r>
    </w:p>
    <w:p w14:paraId="0584657F" w14:textId="77777777" w:rsidR="002B1C1D" w:rsidRDefault="002B1C1D" w:rsidP="00A91BFF">
      <w:pPr>
        <w:jc w:val="both"/>
        <w:sectPr w:rsidR="002B1C1D" w:rsidSect="001B3B60">
          <w:type w:val="continuous"/>
          <w:pgSz w:w="11906" w:h="16838"/>
          <w:pgMar w:top="1417" w:right="1417" w:bottom="1417" w:left="1417" w:header="708" w:footer="708" w:gutter="0"/>
          <w:cols w:space="708"/>
          <w:docGrid w:linePitch="360"/>
        </w:sectPr>
      </w:pPr>
    </w:p>
    <w:p w14:paraId="2A751B8A" w14:textId="39C9C3CB" w:rsidR="00A91BFF" w:rsidRPr="002B1C1D" w:rsidRDefault="002B1C1D" w:rsidP="00A91BFF">
      <w:pPr>
        <w:jc w:val="both"/>
        <w:rPr>
          <w:sz w:val="20"/>
        </w:rPr>
      </w:pPr>
      <w:r w:rsidRPr="002B1C1D">
        <w:rPr>
          <w:sz w:val="20"/>
        </w:rPr>
        <w:t xml:space="preserve">Le prix de location de stand </w:t>
      </w:r>
      <w:r w:rsidR="00A91BFF" w:rsidRPr="002B1C1D">
        <w:rPr>
          <w:sz w:val="20"/>
        </w:rPr>
        <w:t>e</w:t>
      </w:r>
      <w:r w:rsidRPr="002B1C1D">
        <w:rPr>
          <w:sz w:val="20"/>
        </w:rPr>
        <w:t xml:space="preserve">st déterminé par l’ASPT </w:t>
      </w:r>
      <w:r w:rsidR="00A91BFF" w:rsidRPr="002B1C1D">
        <w:rPr>
          <w:sz w:val="20"/>
        </w:rPr>
        <w:t>et peu</w:t>
      </w:r>
      <w:r w:rsidRPr="002B1C1D">
        <w:rPr>
          <w:sz w:val="20"/>
        </w:rPr>
        <w:t xml:space="preserve">t être révisé </w:t>
      </w:r>
      <w:r w:rsidR="00A91BFF" w:rsidRPr="002B1C1D">
        <w:rPr>
          <w:sz w:val="20"/>
        </w:rPr>
        <w:t xml:space="preserve">en cas de modification des dispositions fiscales. </w:t>
      </w:r>
    </w:p>
    <w:p w14:paraId="1C2D9AF9" w14:textId="77777777" w:rsidR="002B1C1D" w:rsidRDefault="002B1C1D" w:rsidP="00A91BFF">
      <w:pPr>
        <w:jc w:val="both"/>
        <w:rPr>
          <w:b/>
        </w:rPr>
        <w:sectPr w:rsidR="002B1C1D" w:rsidSect="002B1C1D">
          <w:type w:val="continuous"/>
          <w:pgSz w:w="11906" w:h="16838"/>
          <w:pgMar w:top="1417" w:right="1417" w:bottom="1417" w:left="1417" w:header="708" w:footer="708" w:gutter="0"/>
          <w:cols w:num="2" w:space="708"/>
          <w:docGrid w:linePitch="360"/>
        </w:sectPr>
      </w:pPr>
    </w:p>
    <w:p w14:paraId="01C1CF9F" w14:textId="43367B86" w:rsidR="00BE72F2" w:rsidRPr="00BE72F2" w:rsidRDefault="00A91BFF" w:rsidP="00A91BFF">
      <w:pPr>
        <w:jc w:val="both"/>
        <w:rPr>
          <w:b/>
        </w:rPr>
      </w:pPr>
      <w:r w:rsidRPr="00BE72F2">
        <w:rPr>
          <w:b/>
        </w:rPr>
        <w:t xml:space="preserve">Article 8 – Conditions de paiement </w:t>
      </w:r>
    </w:p>
    <w:p w14:paraId="34AEC3D5" w14:textId="77777777" w:rsidR="002B1C1D" w:rsidRDefault="002B1C1D" w:rsidP="00A91BFF">
      <w:pPr>
        <w:jc w:val="both"/>
        <w:rPr>
          <w:sz w:val="20"/>
        </w:rPr>
        <w:sectPr w:rsidR="002B1C1D" w:rsidSect="001B3B60">
          <w:type w:val="continuous"/>
          <w:pgSz w:w="11906" w:h="16838"/>
          <w:pgMar w:top="1417" w:right="1417" w:bottom="1417" w:left="1417" w:header="708" w:footer="708" w:gutter="0"/>
          <w:cols w:space="708"/>
          <w:docGrid w:linePitch="360"/>
        </w:sectPr>
      </w:pPr>
    </w:p>
    <w:p w14:paraId="152BDB14" w14:textId="4D4D2DAB" w:rsidR="00A91BFF" w:rsidRPr="002B1C1D" w:rsidRDefault="00A91BFF" w:rsidP="00A91BFF">
      <w:pPr>
        <w:jc w:val="both"/>
        <w:rPr>
          <w:sz w:val="20"/>
        </w:rPr>
      </w:pPr>
      <w:r w:rsidRPr="002B1C1D">
        <w:rPr>
          <w:sz w:val="20"/>
        </w:rPr>
        <w:t xml:space="preserve">Le paiement de la </w:t>
      </w:r>
      <w:r w:rsidR="002B1C1D">
        <w:rPr>
          <w:sz w:val="20"/>
        </w:rPr>
        <w:t xml:space="preserve">location </w:t>
      </w:r>
      <w:r w:rsidRPr="002B1C1D">
        <w:rPr>
          <w:sz w:val="20"/>
        </w:rPr>
        <w:t xml:space="preserve">se fait </w:t>
      </w:r>
      <w:r w:rsidR="003666A0">
        <w:rPr>
          <w:sz w:val="20"/>
        </w:rPr>
        <w:t xml:space="preserve">avant la date de réception des stands </w:t>
      </w:r>
      <w:r w:rsidRPr="002B1C1D">
        <w:rPr>
          <w:sz w:val="20"/>
        </w:rPr>
        <w:t>et selon les modalité</w:t>
      </w:r>
      <w:r w:rsidR="002B1C1D">
        <w:rPr>
          <w:sz w:val="20"/>
        </w:rPr>
        <w:t xml:space="preserve">s déterminées par l’ASPT. </w:t>
      </w:r>
      <w:r w:rsidRPr="002B1C1D">
        <w:rPr>
          <w:sz w:val="20"/>
        </w:rPr>
        <w:t xml:space="preserve">Pour toute demande de participation intervenant tardivement, le premier versement est égal aux sommes déjà exigibles à la </w:t>
      </w:r>
      <w:r w:rsidRPr="002B1C1D">
        <w:rPr>
          <w:sz w:val="20"/>
        </w:rPr>
        <w:t xml:space="preserve">date de la demande de participation. Il en est de même pour les exposants en liste d’attente qui bénéficient de l’attribution tardive d’un espace d’exposition. </w:t>
      </w:r>
    </w:p>
    <w:p w14:paraId="7D0D414F" w14:textId="77777777" w:rsidR="002B1C1D" w:rsidRDefault="002B1C1D" w:rsidP="00A91BFF">
      <w:pPr>
        <w:jc w:val="both"/>
        <w:rPr>
          <w:b/>
        </w:rPr>
        <w:sectPr w:rsidR="002B1C1D" w:rsidSect="002B1C1D">
          <w:type w:val="continuous"/>
          <w:pgSz w:w="11906" w:h="16838"/>
          <w:pgMar w:top="1417" w:right="1417" w:bottom="1417" w:left="1417" w:header="708" w:footer="708" w:gutter="0"/>
          <w:cols w:num="2" w:space="708"/>
          <w:docGrid w:linePitch="360"/>
        </w:sectPr>
      </w:pPr>
    </w:p>
    <w:p w14:paraId="24DDD309" w14:textId="77777777" w:rsidR="003666A0" w:rsidRPr="003666A0" w:rsidRDefault="003666A0" w:rsidP="00A91BFF">
      <w:pPr>
        <w:jc w:val="both"/>
        <w:rPr>
          <w:b/>
          <w:sz w:val="8"/>
        </w:rPr>
      </w:pPr>
    </w:p>
    <w:p w14:paraId="4A1616D6" w14:textId="2F9B8A16" w:rsidR="00BE72F2" w:rsidRPr="00BE72F2" w:rsidRDefault="00A91BFF" w:rsidP="00A91BFF">
      <w:pPr>
        <w:jc w:val="both"/>
        <w:rPr>
          <w:b/>
        </w:rPr>
      </w:pPr>
      <w:r w:rsidRPr="00BE72F2">
        <w:rPr>
          <w:b/>
        </w:rPr>
        <w:t xml:space="preserve">Article 9 – Défaut de paiement </w:t>
      </w:r>
    </w:p>
    <w:p w14:paraId="62CDCF92" w14:textId="77777777" w:rsidR="002B1C1D" w:rsidRDefault="002B1C1D" w:rsidP="00A91BFF">
      <w:pPr>
        <w:jc w:val="both"/>
        <w:rPr>
          <w:sz w:val="20"/>
        </w:rPr>
        <w:sectPr w:rsidR="002B1C1D" w:rsidSect="001B3B60">
          <w:type w:val="continuous"/>
          <w:pgSz w:w="11906" w:h="16838"/>
          <w:pgMar w:top="1417" w:right="1417" w:bottom="1417" w:left="1417" w:header="708" w:footer="708" w:gutter="0"/>
          <w:cols w:space="708"/>
          <w:docGrid w:linePitch="360"/>
        </w:sectPr>
      </w:pPr>
    </w:p>
    <w:p w14:paraId="164571BB" w14:textId="095C6F5B" w:rsidR="002B1C1D" w:rsidRDefault="00A91BFF" w:rsidP="00A91BFF">
      <w:pPr>
        <w:jc w:val="both"/>
        <w:rPr>
          <w:b/>
          <w:color w:val="4472C4" w:themeColor="accent1"/>
        </w:rPr>
        <w:sectPr w:rsidR="002B1C1D" w:rsidSect="002B1C1D">
          <w:type w:val="continuous"/>
          <w:pgSz w:w="11906" w:h="16838"/>
          <w:pgMar w:top="1417" w:right="1417" w:bottom="1417" w:left="1417" w:header="708" w:footer="708" w:gutter="0"/>
          <w:cols w:num="2" w:space="708"/>
          <w:docGrid w:linePitch="360"/>
        </w:sectPr>
      </w:pPr>
      <w:r w:rsidRPr="002B1C1D">
        <w:rPr>
          <w:sz w:val="20"/>
        </w:rPr>
        <w:t>Le fait pour un exposant de ne pas respecter les échéances et les modalités de paiement visées à l’article pr</w:t>
      </w:r>
      <w:r w:rsidR="003666A0">
        <w:rPr>
          <w:sz w:val="20"/>
        </w:rPr>
        <w:t>écédent, autorise l’ASPT</w:t>
      </w:r>
      <w:r w:rsidRPr="002B1C1D">
        <w:rPr>
          <w:sz w:val="20"/>
        </w:rPr>
        <w:t xml:space="preserve"> à faire application des stipulat</w:t>
      </w:r>
      <w:r w:rsidR="003666A0">
        <w:rPr>
          <w:sz w:val="20"/>
        </w:rPr>
        <w:t>ions de l’article 6 « Retrait »</w:t>
      </w:r>
      <w:r w:rsidRPr="002B1C1D">
        <w:rPr>
          <w:sz w:val="20"/>
        </w:rPr>
        <w:t xml:space="preserve">. </w:t>
      </w:r>
      <w:r w:rsidRPr="002B1C1D">
        <w:rPr>
          <w:sz w:val="20"/>
        </w:rPr>
        <w:t>L’exposant en situation de retard de paiement sera redevable, de plein droit, d’une indemnité forfaitaire pour f</w:t>
      </w:r>
      <w:r w:rsidR="003666A0">
        <w:rPr>
          <w:sz w:val="20"/>
        </w:rPr>
        <w:t>rais de recouvrement de 10% du montant TTC de sa facture.</w:t>
      </w:r>
    </w:p>
    <w:p w14:paraId="0128CB6F" w14:textId="77777777" w:rsidR="002B1C1D" w:rsidRPr="003666A0" w:rsidRDefault="002B1C1D" w:rsidP="00A91BFF">
      <w:pPr>
        <w:jc w:val="both"/>
        <w:rPr>
          <w:b/>
          <w:color w:val="4472C4" w:themeColor="accent1"/>
          <w:sz w:val="2"/>
        </w:rPr>
      </w:pPr>
    </w:p>
    <w:p w14:paraId="125D0FB7" w14:textId="0CA0F78C" w:rsidR="00BE72F2" w:rsidRPr="000D49B2" w:rsidRDefault="00A91BFF" w:rsidP="00A91BFF">
      <w:pPr>
        <w:jc w:val="both"/>
        <w:rPr>
          <w:b/>
          <w:color w:val="4472C4" w:themeColor="accent1"/>
        </w:rPr>
      </w:pPr>
      <w:r w:rsidRPr="000D49B2">
        <w:rPr>
          <w:b/>
          <w:color w:val="4472C4" w:themeColor="accent1"/>
        </w:rPr>
        <w:t xml:space="preserve">ESPACES D’EXPOSITION </w:t>
      </w:r>
    </w:p>
    <w:p w14:paraId="3F799C0B" w14:textId="77777777" w:rsidR="00BE72F2" w:rsidRPr="00BE72F2" w:rsidRDefault="00A91BFF" w:rsidP="00A91BFF">
      <w:pPr>
        <w:jc w:val="both"/>
        <w:rPr>
          <w:b/>
        </w:rPr>
      </w:pPr>
      <w:r w:rsidRPr="00BE72F2">
        <w:rPr>
          <w:b/>
        </w:rPr>
        <w:t xml:space="preserve">Article 10 – Répartition </w:t>
      </w:r>
    </w:p>
    <w:p w14:paraId="1FCA0AAA" w14:textId="77777777" w:rsidR="003666A0" w:rsidRDefault="003666A0" w:rsidP="00A91BFF">
      <w:pPr>
        <w:jc w:val="both"/>
        <w:rPr>
          <w:sz w:val="20"/>
        </w:rPr>
        <w:sectPr w:rsidR="003666A0" w:rsidSect="001B3B60">
          <w:type w:val="continuous"/>
          <w:pgSz w:w="11906" w:h="16838"/>
          <w:pgMar w:top="1417" w:right="1417" w:bottom="1417" w:left="1417" w:header="708" w:footer="708" w:gutter="0"/>
          <w:cols w:space="708"/>
          <w:docGrid w:linePitch="360"/>
        </w:sectPr>
      </w:pPr>
    </w:p>
    <w:p w14:paraId="7EBC18DA" w14:textId="77777777" w:rsidR="005864DA" w:rsidRDefault="003666A0" w:rsidP="00A91BFF">
      <w:pPr>
        <w:jc w:val="both"/>
        <w:rPr>
          <w:sz w:val="20"/>
        </w:rPr>
      </w:pPr>
      <w:r>
        <w:rPr>
          <w:sz w:val="20"/>
        </w:rPr>
        <w:t>L’ASPT</w:t>
      </w:r>
      <w:r w:rsidR="00A91BFF" w:rsidRPr="003666A0">
        <w:rPr>
          <w:sz w:val="20"/>
        </w:rPr>
        <w:t xml:space="preserve"> établit le plan du salon et effectue la répartition des emplacements librement, en tenant compte si possible des désirs exprimés par l’exposant, de la nature des produits et/ou services qu’il présente, de la disposition de l’espace d’exposition qu’il se propose d’installer ainsi que, si nécessaire, de la date d’enregistrement de la demande de participation</w:t>
      </w:r>
      <w:r w:rsidR="005864DA">
        <w:rPr>
          <w:sz w:val="20"/>
        </w:rPr>
        <w:t>. L’ASPT</w:t>
      </w:r>
      <w:r w:rsidR="00A91BFF" w:rsidRPr="003666A0">
        <w:rPr>
          <w:sz w:val="20"/>
        </w:rPr>
        <w:t xml:space="preserve"> peut être </w:t>
      </w:r>
      <w:r w:rsidR="00A91BFF" w:rsidRPr="003666A0">
        <w:rPr>
          <w:sz w:val="20"/>
        </w:rPr>
        <w:t xml:space="preserve">contraint de modifier l’importance et la disposition des </w:t>
      </w:r>
      <w:r w:rsidR="000D49B2" w:rsidRPr="003666A0">
        <w:rPr>
          <w:sz w:val="20"/>
        </w:rPr>
        <w:t xml:space="preserve"> </w:t>
      </w:r>
      <w:r w:rsidR="00A91BFF" w:rsidRPr="003666A0">
        <w:rPr>
          <w:sz w:val="20"/>
        </w:rPr>
        <w:t xml:space="preserve">surfaces demandées par l’exposant. </w:t>
      </w:r>
    </w:p>
    <w:p w14:paraId="13D1E7AA" w14:textId="5CF6DB1A" w:rsidR="00390083" w:rsidRDefault="00A91BFF" w:rsidP="00A91BFF">
      <w:pPr>
        <w:jc w:val="both"/>
        <w:rPr>
          <w:sz w:val="20"/>
        </w:rPr>
      </w:pPr>
      <w:r w:rsidRPr="003666A0">
        <w:rPr>
          <w:sz w:val="20"/>
        </w:rPr>
        <w:t>Cette modification n’autorise pas l’exposant à résilier unilatéralement s</w:t>
      </w:r>
      <w:r w:rsidR="005864DA">
        <w:rPr>
          <w:sz w:val="20"/>
        </w:rPr>
        <w:t xml:space="preserve">on engagement de participation. </w:t>
      </w:r>
      <w:r w:rsidRPr="003666A0">
        <w:rPr>
          <w:sz w:val="20"/>
        </w:rPr>
        <w:t xml:space="preserve">L’emplacement de l’espace d’exposition attribué à un exposant lui est communiqué au moyen d’un plan. Il appartient à l’exposant de s’assurer de la conformité du plan </w:t>
      </w:r>
      <w:r w:rsidRPr="003666A0">
        <w:rPr>
          <w:sz w:val="20"/>
        </w:rPr>
        <w:lastRenderedPageBreak/>
        <w:t>avant l’aménagement de son espace d’exposition.</w:t>
      </w:r>
      <w:r w:rsidR="00390083">
        <w:rPr>
          <w:sz w:val="20"/>
        </w:rPr>
        <w:t xml:space="preserve"> </w:t>
      </w:r>
      <w:r w:rsidRPr="003666A0">
        <w:rPr>
          <w:sz w:val="20"/>
        </w:rPr>
        <w:t xml:space="preserve">La </w:t>
      </w:r>
      <w:r w:rsidR="00E11A7D">
        <w:rPr>
          <w:sz w:val="20"/>
        </w:rPr>
        <w:t>responsabilité de l’ASPT</w:t>
      </w:r>
      <w:r w:rsidRPr="003666A0">
        <w:rPr>
          <w:sz w:val="20"/>
        </w:rPr>
        <w:t xml:space="preserve"> n’est pas engagée s’il apparaît une différence entre les cotes indiquées et les dimensions réelles de l’espace d’exposition. Le plan indique le découpage général des îlots environnant l’emplacement attribué. Ces indications, valables à la date d’établissement du plan, sont données à titre d’information et sont </w:t>
      </w:r>
    </w:p>
    <w:p w14:paraId="3C298E7B" w14:textId="411D6527" w:rsidR="003666A0" w:rsidRPr="00E11A7D" w:rsidRDefault="00A91BFF" w:rsidP="00A91BFF">
      <w:pPr>
        <w:jc w:val="both"/>
        <w:rPr>
          <w:sz w:val="20"/>
        </w:rPr>
        <w:sectPr w:rsidR="003666A0" w:rsidRPr="00E11A7D" w:rsidSect="003666A0">
          <w:type w:val="continuous"/>
          <w:pgSz w:w="11906" w:h="16838"/>
          <w:pgMar w:top="1417" w:right="1417" w:bottom="1417" w:left="1417" w:header="708" w:footer="708" w:gutter="0"/>
          <w:cols w:num="2" w:space="708"/>
          <w:docGrid w:linePitch="360"/>
        </w:sectPr>
      </w:pPr>
      <w:proofErr w:type="gramStart"/>
      <w:r w:rsidRPr="003666A0">
        <w:rPr>
          <w:sz w:val="20"/>
        </w:rPr>
        <w:t>susceptibles</w:t>
      </w:r>
      <w:proofErr w:type="gramEnd"/>
      <w:r w:rsidRPr="003666A0">
        <w:rPr>
          <w:sz w:val="20"/>
        </w:rPr>
        <w:t xml:space="preserve"> de modifications qui peuvent ne pas être portées à la connaissance de l’exposant. Toute </w:t>
      </w:r>
      <w:r w:rsidRPr="003666A0">
        <w:rPr>
          <w:sz w:val="20"/>
        </w:rPr>
        <w:t>réclamation concernant l’emplacement défini par le plan doit être présentée sous huit jours à compter de la réception par l’exposant du plan. Passé ce délai, l’emplacement proposé est considéré comme accept</w:t>
      </w:r>
      <w:r w:rsidR="00E11A7D">
        <w:rPr>
          <w:sz w:val="20"/>
        </w:rPr>
        <w:t>é par l’exposant. L’ASPT</w:t>
      </w:r>
      <w:r w:rsidRPr="003666A0">
        <w:rPr>
          <w:sz w:val="20"/>
        </w:rPr>
        <w:t xml:space="preserve"> ne peut en aucun cas réserver un emplacement, ni garantir celui-ci d’une session sur l’autre. De plus, la participation à des manifestations antérieures ne crée en faveur de l’exposant aucun</w:t>
      </w:r>
      <w:r w:rsidR="00E11A7D">
        <w:rPr>
          <w:sz w:val="20"/>
        </w:rPr>
        <w:t xml:space="preserve"> droit lié à cette antériorité.</w:t>
      </w:r>
    </w:p>
    <w:p w14:paraId="2DBC3256" w14:textId="77777777" w:rsidR="00D855B4" w:rsidRDefault="00D855B4" w:rsidP="00A91BFF">
      <w:pPr>
        <w:jc w:val="both"/>
        <w:rPr>
          <w:b/>
        </w:rPr>
      </w:pPr>
    </w:p>
    <w:p w14:paraId="73EBA5B4" w14:textId="2507ED5B" w:rsidR="00BE72F2" w:rsidRPr="00BE72F2" w:rsidRDefault="00A91BFF" w:rsidP="00A91BFF">
      <w:pPr>
        <w:jc w:val="both"/>
        <w:rPr>
          <w:b/>
        </w:rPr>
      </w:pPr>
      <w:r w:rsidRPr="00BE72F2">
        <w:rPr>
          <w:b/>
        </w:rPr>
        <w:t xml:space="preserve">Article 11 – Installation et décoration des espaces d’exposition </w:t>
      </w:r>
    </w:p>
    <w:p w14:paraId="65259E31" w14:textId="77777777" w:rsidR="00E11A7D" w:rsidRDefault="00E11A7D" w:rsidP="00A91BFF">
      <w:pPr>
        <w:jc w:val="both"/>
        <w:rPr>
          <w:sz w:val="20"/>
        </w:rPr>
        <w:sectPr w:rsidR="00E11A7D" w:rsidSect="001B3B60">
          <w:type w:val="continuous"/>
          <w:pgSz w:w="11906" w:h="16838"/>
          <w:pgMar w:top="1417" w:right="1417" w:bottom="1417" w:left="1417" w:header="708" w:footer="708" w:gutter="0"/>
          <w:cols w:space="708"/>
          <w:docGrid w:linePitch="360"/>
        </w:sectPr>
      </w:pPr>
    </w:p>
    <w:p w14:paraId="049F6CDB" w14:textId="418374DF" w:rsidR="00E11A7D" w:rsidRPr="00E11A7D" w:rsidRDefault="00A91BFF" w:rsidP="00A91BFF">
      <w:pPr>
        <w:jc w:val="both"/>
        <w:rPr>
          <w:sz w:val="20"/>
        </w:rPr>
        <w:sectPr w:rsidR="00E11A7D" w:rsidRPr="00E11A7D" w:rsidSect="00E11A7D">
          <w:type w:val="continuous"/>
          <w:pgSz w:w="11906" w:h="16838"/>
          <w:pgMar w:top="1417" w:right="1417" w:bottom="1417" w:left="1417" w:header="708" w:footer="708" w:gutter="0"/>
          <w:cols w:num="2" w:space="708"/>
          <w:docGrid w:linePitch="360"/>
        </w:sectPr>
      </w:pPr>
      <w:r w:rsidRPr="00E11A7D">
        <w:rPr>
          <w:sz w:val="20"/>
        </w:rPr>
        <w:t>L’installation des espaces d’exposition est conçue selon le plan g</w:t>
      </w:r>
      <w:r w:rsidR="00E11A7D">
        <w:rPr>
          <w:sz w:val="20"/>
        </w:rPr>
        <w:t>énéral établi par l’ASPT</w:t>
      </w:r>
      <w:r w:rsidRPr="00E11A7D">
        <w:rPr>
          <w:sz w:val="20"/>
        </w:rPr>
        <w:t>. La décoration particulière des espaces d’exposition est effectuée par les exposants et sous leur seule responsabilité. Elle doit respecter les règlements de sécurité édictés par les pouvoirs publics ainsi que le plan général de décoration et la signalé</w:t>
      </w:r>
      <w:r w:rsidR="00E11A7D">
        <w:rPr>
          <w:sz w:val="20"/>
        </w:rPr>
        <w:t>tique. L’ASPT</w:t>
      </w:r>
      <w:r w:rsidRPr="00E11A7D">
        <w:rPr>
          <w:sz w:val="20"/>
        </w:rPr>
        <w:t xml:space="preserve"> détermine les modalités d’affichage, les conditions d’emploi de tous procédés sonores, lumineux ou audiovisuels, ainsi que les conditions dans lesquelles peuvent être organisées toute opération promotionnelle, animation ou enquête d’opinion dans l’e</w:t>
      </w:r>
      <w:r w:rsidR="00ED6D76">
        <w:rPr>
          <w:sz w:val="20"/>
        </w:rPr>
        <w:t>nceinte du salon. L’ASPT</w:t>
      </w:r>
      <w:r w:rsidRPr="00E11A7D">
        <w:rPr>
          <w:sz w:val="20"/>
        </w:rPr>
        <w:t xml:space="preserve"> détermine de même les conditions dans lesquelles les prises de vues ou de son sont autorisées dans l’e</w:t>
      </w:r>
      <w:r w:rsidR="00ED6D76">
        <w:rPr>
          <w:sz w:val="20"/>
        </w:rPr>
        <w:t xml:space="preserve">nceinte du salon. L’Agence </w:t>
      </w:r>
      <w:r w:rsidRPr="00E11A7D">
        <w:rPr>
          <w:sz w:val="20"/>
        </w:rPr>
        <w:t xml:space="preserve">pourra subordonner son autorisation à la signature, par le participant, d’une </w:t>
      </w:r>
      <w:r w:rsidRPr="00E11A7D">
        <w:rPr>
          <w:sz w:val="20"/>
        </w:rPr>
        <w:t>cession de droits consentie en sa faveur pour la pr</w:t>
      </w:r>
      <w:r w:rsidR="00ED6D76">
        <w:rPr>
          <w:sz w:val="20"/>
        </w:rPr>
        <w:t>omotion du salon. L’ASPT</w:t>
      </w:r>
      <w:r w:rsidRPr="00E11A7D">
        <w:rPr>
          <w:sz w:val="20"/>
        </w:rPr>
        <w:t xml:space="preserve"> se réserve le droit de faire supprimer ou modifier celles des installations qui nuiraient à l’aspect général du salon ou gêneraient les exposants voisins ou le public, ou qui ne seraient pas conformes au plan et à la maquette préalablement soumi</w:t>
      </w:r>
      <w:r w:rsidR="00ED6D76">
        <w:rPr>
          <w:sz w:val="20"/>
        </w:rPr>
        <w:t>s à son agrément. L’ASPT</w:t>
      </w:r>
      <w:r w:rsidRPr="00E11A7D">
        <w:rPr>
          <w:sz w:val="20"/>
        </w:rPr>
        <w:t xml:space="preserve"> peut revenir sur l’autorisation accordée en cas de gêne apportée aux exposants voisins, à la circulation ou à la tenue du salon. La promotion à haute voix et le racolage, de quelque façon qu’ils soient pratiqués, sont formellement interdits. Les circulaires, brochures, catalogues, imprimés relatifs aux produits et marques exposés, ne pourront être distribués par les exposants que sur leur stand. Leur distribution dans le lieu de la manifestation et ses abords immédi</w:t>
      </w:r>
      <w:r w:rsidR="00E11A7D">
        <w:rPr>
          <w:sz w:val="20"/>
        </w:rPr>
        <w:t>ats, est strictement interdite.</w:t>
      </w:r>
    </w:p>
    <w:p w14:paraId="5768A590" w14:textId="77777777" w:rsidR="000D49B2" w:rsidRPr="00E11A7D" w:rsidRDefault="000D49B2" w:rsidP="00A91BFF">
      <w:pPr>
        <w:jc w:val="both"/>
        <w:rPr>
          <w:sz w:val="4"/>
        </w:rPr>
      </w:pPr>
    </w:p>
    <w:p w14:paraId="10E68AD5" w14:textId="77777777" w:rsidR="00BE72F2" w:rsidRPr="00BE72F2" w:rsidRDefault="00A91BFF" w:rsidP="00A91BFF">
      <w:pPr>
        <w:jc w:val="both"/>
        <w:rPr>
          <w:b/>
        </w:rPr>
      </w:pPr>
      <w:r w:rsidRPr="00BE72F2">
        <w:rPr>
          <w:b/>
        </w:rPr>
        <w:t xml:space="preserve">Article 12 – Remise en état </w:t>
      </w:r>
    </w:p>
    <w:p w14:paraId="7D5F774F" w14:textId="77777777" w:rsidR="00ED6D76" w:rsidRDefault="00ED6D76" w:rsidP="00A91BFF">
      <w:pPr>
        <w:jc w:val="both"/>
        <w:rPr>
          <w:sz w:val="20"/>
        </w:rPr>
        <w:sectPr w:rsidR="00ED6D76" w:rsidSect="001B3B60">
          <w:type w:val="continuous"/>
          <w:pgSz w:w="11906" w:h="16838"/>
          <w:pgMar w:top="1417" w:right="1417" w:bottom="1417" w:left="1417" w:header="708" w:footer="708" w:gutter="0"/>
          <w:cols w:space="708"/>
          <w:docGrid w:linePitch="360"/>
        </w:sectPr>
      </w:pPr>
    </w:p>
    <w:p w14:paraId="57ABB286" w14:textId="70046013" w:rsidR="00ED6D76" w:rsidRDefault="00ED6D76" w:rsidP="00A91BFF">
      <w:pPr>
        <w:jc w:val="both"/>
        <w:rPr>
          <w:sz w:val="20"/>
        </w:rPr>
        <w:sectPr w:rsidR="00ED6D76" w:rsidSect="00ED6D76">
          <w:type w:val="continuous"/>
          <w:pgSz w:w="11906" w:h="16838"/>
          <w:pgMar w:top="1417" w:right="1417" w:bottom="1417" w:left="1417" w:header="708" w:footer="708" w:gutter="0"/>
          <w:cols w:num="2" w:space="708"/>
          <w:docGrid w:linePitch="360"/>
        </w:sectPr>
      </w:pPr>
      <w:r>
        <w:rPr>
          <w:sz w:val="20"/>
        </w:rPr>
        <w:t>L’ASPT</w:t>
      </w:r>
      <w:r w:rsidR="00A91BFF" w:rsidRPr="00ED6D76">
        <w:rPr>
          <w:sz w:val="20"/>
        </w:rPr>
        <w:t xml:space="preserve"> décline toute responsabilité concernant les constructions ou installations édifiées par les exposants. Les exposants prennent les emplacements dans l’état où ils les trouvent et doivent les laisser dans le même état. Toute </w:t>
      </w:r>
      <w:r w:rsidR="00A91BFF" w:rsidRPr="00ED6D76">
        <w:rPr>
          <w:sz w:val="20"/>
        </w:rPr>
        <w:t xml:space="preserve">détérioration, notamment aux locaux et installations dans lesquels se tient le salon, </w:t>
      </w:r>
      <w:r w:rsidR="000D49B2" w:rsidRPr="00ED6D76">
        <w:rPr>
          <w:sz w:val="20"/>
        </w:rPr>
        <w:t>causé</w:t>
      </w:r>
      <w:r w:rsidR="00A91BFF" w:rsidRPr="00ED6D76">
        <w:rPr>
          <w:sz w:val="20"/>
        </w:rPr>
        <w:t xml:space="preserve"> par un exposant ou par ses installations, matériels ou marchandises est à la charge de cet exposant</w:t>
      </w:r>
    </w:p>
    <w:p w14:paraId="2546D90C" w14:textId="77777777" w:rsidR="00C82959" w:rsidRDefault="00A91BFF" w:rsidP="00C82959">
      <w:pPr>
        <w:jc w:val="both"/>
      </w:pPr>
      <w:r>
        <w:t>.</w:t>
      </w:r>
    </w:p>
    <w:p w14:paraId="1381A07D" w14:textId="77777777" w:rsidR="00C82959" w:rsidRDefault="00C82959" w:rsidP="00C82959">
      <w:pPr>
        <w:jc w:val="both"/>
      </w:pPr>
    </w:p>
    <w:p w14:paraId="6EF6A7FC" w14:textId="77777777" w:rsidR="00C82959" w:rsidRDefault="00C82959" w:rsidP="00C82959">
      <w:pPr>
        <w:jc w:val="both"/>
      </w:pPr>
    </w:p>
    <w:p w14:paraId="079760D1" w14:textId="77777777" w:rsidR="00C82959" w:rsidRDefault="00C82959" w:rsidP="00C82959">
      <w:pPr>
        <w:jc w:val="both"/>
      </w:pPr>
    </w:p>
    <w:p w14:paraId="215D1C4B" w14:textId="2A016B64" w:rsidR="00BE72F2" w:rsidRPr="00C82959" w:rsidRDefault="00A91BFF" w:rsidP="00C82959">
      <w:pPr>
        <w:jc w:val="both"/>
      </w:pPr>
      <w:r w:rsidRPr="000D49B2">
        <w:rPr>
          <w:color w:val="4472C4" w:themeColor="accent1"/>
        </w:rPr>
        <w:lastRenderedPageBreak/>
        <w:t xml:space="preserve"> </w:t>
      </w:r>
      <w:r w:rsidRPr="000D49B2">
        <w:rPr>
          <w:b/>
          <w:color w:val="4472C4" w:themeColor="accent1"/>
        </w:rPr>
        <w:t xml:space="preserve">DÉLAIS DE CHANTIER </w:t>
      </w:r>
    </w:p>
    <w:p w14:paraId="2EFCE681" w14:textId="7A23BE3A" w:rsidR="00390083" w:rsidRDefault="00A91BFF" w:rsidP="00AB5DAD">
      <w:pPr>
        <w:spacing w:after="0"/>
        <w:jc w:val="both"/>
        <w:rPr>
          <w:b/>
        </w:rPr>
      </w:pPr>
      <w:r w:rsidRPr="00BE72F2">
        <w:rPr>
          <w:b/>
        </w:rPr>
        <w:t>Article 13 – Montage et démontage de l’espace d’exposition</w:t>
      </w:r>
    </w:p>
    <w:p w14:paraId="4845BF71" w14:textId="77777777" w:rsidR="00AB5DAD" w:rsidRDefault="00AB5DAD" w:rsidP="00AB5DAD">
      <w:pPr>
        <w:spacing w:after="0"/>
        <w:jc w:val="both"/>
        <w:rPr>
          <w:b/>
        </w:rPr>
      </w:pPr>
    </w:p>
    <w:p w14:paraId="36CE1C02" w14:textId="77777777" w:rsidR="00AB5DAD" w:rsidRPr="00AB5DAD" w:rsidRDefault="00AB5DAD" w:rsidP="00AB5DAD">
      <w:pPr>
        <w:spacing w:after="0"/>
        <w:jc w:val="both"/>
        <w:rPr>
          <w:b/>
          <w:sz w:val="10"/>
        </w:rPr>
        <w:sectPr w:rsidR="00AB5DAD" w:rsidRPr="00AB5DAD" w:rsidSect="001B3B60">
          <w:type w:val="continuous"/>
          <w:pgSz w:w="11906" w:h="16838"/>
          <w:pgMar w:top="1417" w:right="1417" w:bottom="1417" w:left="1417" w:header="708" w:footer="708" w:gutter="0"/>
          <w:cols w:space="708"/>
          <w:docGrid w:linePitch="360"/>
        </w:sectPr>
      </w:pPr>
    </w:p>
    <w:p w14:paraId="54939078" w14:textId="14BBBF5A" w:rsidR="000D1C4F" w:rsidRPr="00390083" w:rsidRDefault="000D1C4F" w:rsidP="00A91BFF">
      <w:pPr>
        <w:jc w:val="both"/>
        <w:rPr>
          <w:sz w:val="20"/>
        </w:rPr>
        <w:sectPr w:rsidR="000D1C4F" w:rsidRPr="00390083" w:rsidSect="000D1C4F">
          <w:type w:val="continuous"/>
          <w:pgSz w:w="11906" w:h="16838"/>
          <w:pgMar w:top="1417" w:right="1417" w:bottom="1417" w:left="1417" w:header="708" w:footer="708" w:gutter="0"/>
          <w:cols w:num="2" w:space="708"/>
          <w:docGrid w:linePitch="360"/>
        </w:sectPr>
      </w:pPr>
      <w:r w:rsidRPr="00390083">
        <w:rPr>
          <w:sz w:val="20"/>
        </w:rPr>
        <w:t xml:space="preserve">L’ASPT </w:t>
      </w:r>
      <w:r w:rsidR="00A91BFF" w:rsidRPr="00390083">
        <w:rPr>
          <w:sz w:val="20"/>
        </w:rPr>
        <w:t>détermine le calendrier du montage et de démontage des espaces d’exposition avant l’ouverture du salon et de l’enlèvement des biens, ainsi que les délais de remise en ordre à l’issue du salon. L’exposant se porte fort que son installateur se présentera dans les délais suffisants, avant l’horaire de fin de démontage, afin de permettre la restitution sereine de l’emplacement dans son état initial, dans le délai fixé pa</w:t>
      </w:r>
      <w:r w:rsidR="001C272C" w:rsidRPr="00390083">
        <w:rPr>
          <w:sz w:val="20"/>
        </w:rPr>
        <w:t>r l’organisateur. L’ASPT</w:t>
      </w:r>
      <w:r w:rsidR="00A91BFF" w:rsidRPr="00390083">
        <w:rPr>
          <w:sz w:val="20"/>
        </w:rPr>
        <w:t xml:space="preserve"> peut faire procéder, aux frais et aux risques de l’exposant, aux opérations qui n’ont pas été réalisées par l’exposant dans les délais fixés et sans </w:t>
      </w:r>
      <w:r w:rsidR="00A91BFF" w:rsidRPr="00390083">
        <w:rPr>
          <w:sz w:val="20"/>
        </w:rPr>
        <w:t xml:space="preserve">pouvoir être tenu responsable des dégradations ou pertes totales ou partielles, ce que l’exposant accepte sans réserves. En cas de non démontage du stand par l’exposant dans les délais indiqués, l’organisateur sera en droit de procéder à la destruction du stand sans être tenu de rembourser à l’exposant la valeur des marchandises et des composants du stand détruits. Par ailleurs, le non-respect par un exposant de la date limite d’occupation des emplacements autorise l’organisateur à réclamer le paiement de pénalités de retard et de dommages-intérêts. </w:t>
      </w:r>
    </w:p>
    <w:p w14:paraId="3C1A3FE2" w14:textId="77777777" w:rsidR="000D1C4F" w:rsidRPr="001C272C" w:rsidRDefault="000D1C4F" w:rsidP="00A91BFF">
      <w:pPr>
        <w:jc w:val="both"/>
        <w:rPr>
          <w:b/>
          <w:sz w:val="10"/>
        </w:rPr>
      </w:pPr>
    </w:p>
    <w:p w14:paraId="5574629A" w14:textId="6A958977" w:rsidR="00BE72F2" w:rsidRPr="00BE72F2" w:rsidRDefault="00A91BFF" w:rsidP="00A91BFF">
      <w:pPr>
        <w:jc w:val="both"/>
        <w:rPr>
          <w:b/>
        </w:rPr>
      </w:pPr>
      <w:r w:rsidRPr="00BE72F2">
        <w:rPr>
          <w:b/>
        </w:rPr>
        <w:t xml:space="preserve">Article 14 – Autorisations particulières </w:t>
      </w:r>
    </w:p>
    <w:p w14:paraId="67308C94" w14:textId="77777777" w:rsidR="001C272C" w:rsidRDefault="001C272C" w:rsidP="00A91BFF">
      <w:pPr>
        <w:jc w:val="both"/>
        <w:sectPr w:rsidR="001C272C" w:rsidSect="001B3B60">
          <w:type w:val="continuous"/>
          <w:pgSz w:w="11906" w:h="16838"/>
          <w:pgMar w:top="1417" w:right="1417" w:bottom="1417" w:left="1417" w:header="708" w:footer="708" w:gutter="0"/>
          <w:cols w:space="708"/>
          <w:docGrid w:linePitch="360"/>
        </w:sectPr>
      </w:pPr>
    </w:p>
    <w:p w14:paraId="7F15ECCA" w14:textId="4E7F9D56" w:rsidR="001C272C" w:rsidRPr="00AB5DAD" w:rsidRDefault="00A91BFF" w:rsidP="00A91BFF">
      <w:pPr>
        <w:jc w:val="both"/>
        <w:rPr>
          <w:sz w:val="20"/>
        </w:rPr>
        <w:sectPr w:rsidR="001C272C" w:rsidRPr="00AB5DAD" w:rsidSect="001C272C">
          <w:type w:val="continuous"/>
          <w:pgSz w:w="11906" w:h="16838"/>
          <w:pgMar w:top="1417" w:right="1417" w:bottom="1417" w:left="1417" w:header="708" w:footer="708" w:gutter="0"/>
          <w:cols w:num="2" w:space="708"/>
          <w:docGrid w:linePitch="360"/>
        </w:sectPr>
      </w:pPr>
      <w:r w:rsidRPr="00AB5DAD">
        <w:rPr>
          <w:sz w:val="20"/>
        </w:rPr>
        <w:t xml:space="preserve">Tout aménagement, toute installation de machines ou appareils qui ne peuvent être mis en place ou montés qu’en empruntant l‘espace d’exposition </w:t>
      </w:r>
      <w:r w:rsidRPr="00AB5DAD">
        <w:rPr>
          <w:sz w:val="20"/>
        </w:rPr>
        <w:t>d’autres exposants est fa</w:t>
      </w:r>
      <w:r w:rsidR="001C272C" w:rsidRPr="00AB5DAD">
        <w:rPr>
          <w:sz w:val="20"/>
        </w:rPr>
        <w:t>it sur autorisation de l’ASPT</w:t>
      </w:r>
      <w:r w:rsidRPr="00AB5DAD">
        <w:rPr>
          <w:sz w:val="20"/>
        </w:rPr>
        <w:t xml:space="preserve"> et à la date fixée par lui</w:t>
      </w:r>
      <w:r w:rsidR="001C272C" w:rsidRPr="00AB5DAD">
        <w:rPr>
          <w:sz w:val="20"/>
        </w:rPr>
        <w:t>.</w:t>
      </w:r>
    </w:p>
    <w:p w14:paraId="720F39EF" w14:textId="4639A427" w:rsidR="00BE72F2" w:rsidRPr="001C272C" w:rsidRDefault="00BE72F2" w:rsidP="00A91BFF">
      <w:pPr>
        <w:jc w:val="both"/>
        <w:rPr>
          <w:sz w:val="10"/>
        </w:rPr>
      </w:pPr>
    </w:p>
    <w:p w14:paraId="0C938F66" w14:textId="77777777" w:rsidR="00BE72F2" w:rsidRPr="00BE72F2" w:rsidRDefault="00A91BFF" w:rsidP="00A91BFF">
      <w:pPr>
        <w:jc w:val="both"/>
        <w:rPr>
          <w:b/>
        </w:rPr>
      </w:pPr>
      <w:r>
        <w:t xml:space="preserve"> </w:t>
      </w:r>
      <w:r w:rsidRPr="00BE72F2">
        <w:rPr>
          <w:b/>
        </w:rPr>
        <w:t xml:space="preserve">Article 15 – Marchandises </w:t>
      </w:r>
    </w:p>
    <w:p w14:paraId="422F8834" w14:textId="77777777" w:rsidR="001C272C" w:rsidRDefault="001C272C" w:rsidP="00A91BFF">
      <w:pPr>
        <w:jc w:val="both"/>
        <w:sectPr w:rsidR="001C272C" w:rsidSect="001B3B60">
          <w:type w:val="continuous"/>
          <w:pgSz w:w="11906" w:h="16838"/>
          <w:pgMar w:top="1417" w:right="1417" w:bottom="1417" w:left="1417" w:header="708" w:footer="708" w:gutter="0"/>
          <w:cols w:space="708"/>
          <w:docGrid w:linePitch="360"/>
        </w:sectPr>
      </w:pPr>
    </w:p>
    <w:p w14:paraId="1BAF36C3" w14:textId="4FF80828" w:rsidR="00BE72F2" w:rsidRDefault="00A91BFF" w:rsidP="00A91BFF">
      <w:pPr>
        <w:jc w:val="both"/>
      </w:pPr>
      <w:r>
        <w:t>Chaque exposant pourvoit lui-même au transport et à la réception des marchandises qui lui sont destinées. Il est tenu de se conformer au</w:t>
      </w:r>
      <w:r w:rsidR="001C272C">
        <w:t>x instructions de l’ASPT</w:t>
      </w:r>
      <w:r>
        <w:t xml:space="preserve"> relatives à la réglementation des entrées et sorties des marchandises, notamment pour ce qui </w:t>
      </w:r>
      <w:r>
        <w:t xml:space="preserve">concerne la circulation des véhicules et des prestataires dans l’enceinte du salon. Les produits et matériels exposés sur le salon ne peuvent, sous quelque prétexte que ce soit, en sortir pendant sa durée. </w:t>
      </w:r>
    </w:p>
    <w:p w14:paraId="0935CE0C" w14:textId="77777777" w:rsidR="001C272C" w:rsidRDefault="001C272C" w:rsidP="00BE72F2">
      <w:pPr>
        <w:spacing w:after="0"/>
        <w:jc w:val="both"/>
        <w:rPr>
          <w:b/>
          <w:color w:val="4472C4" w:themeColor="accent1"/>
        </w:rPr>
        <w:sectPr w:rsidR="001C272C" w:rsidSect="001C272C">
          <w:type w:val="continuous"/>
          <w:pgSz w:w="11906" w:h="16838"/>
          <w:pgMar w:top="1417" w:right="1417" w:bottom="1417" w:left="1417" w:header="708" w:footer="708" w:gutter="0"/>
          <w:cols w:num="2" w:space="708"/>
          <w:docGrid w:linePitch="360"/>
        </w:sectPr>
      </w:pPr>
    </w:p>
    <w:p w14:paraId="702E63FE" w14:textId="77777777" w:rsidR="001C272C" w:rsidRPr="001C272C" w:rsidRDefault="001C272C" w:rsidP="00BE72F2">
      <w:pPr>
        <w:spacing w:after="0"/>
        <w:jc w:val="both"/>
        <w:rPr>
          <w:b/>
          <w:color w:val="4472C4" w:themeColor="accent1"/>
          <w:sz w:val="10"/>
        </w:rPr>
      </w:pPr>
    </w:p>
    <w:p w14:paraId="18A7BF1A" w14:textId="34890FF4" w:rsidR="00BE72F2" w:rsidRPr="000D49B2" w:rsidRDefault="00A91BFF" w:rsidP="00BE72F2">
      <w:pPr>
        <w:spacing w:after="0"/>
        <w:jc w:val="both"/>
        <w:rPr>
          <w:b/>
          <w:color w:val="4472C4" w:themeColor="accent1"/>
        </w:rPr>
      </w:pPr>
      <w:r w:rsidRPr="000D49B2">
        <w:rPr>
          <w:b/>
          <w:color w:val="4472C4" w:themeColor="accent1"/>
        </w:rPr>
        <w:t>NETTOYAGE</w:t>
      </w:r>
    </w:p>
    <w:p w14:paraId="1E39DEFC" w14:textId="10C3DC7D" w:rsidR="00BE72F2" w:rsidRPr="00BE72F2" w:rsidRDefault="00A91BFF" w:rsidP="00BE72F2">
      <w:pPr>
        <w:spacing w:after="0"/>
        <w:jc w:val="both"/>
        <w:rPr>
          <w:b/>
        </w:rPr>
      </w:pPr>
      <w:r w:rsidRPr="00BE72F2">
        <w:rPr>
          <w:b/>
        </w:rPr>
        <w:t>Article 16 – Nettoyage</w:t>
      </w:r>
    </w:p>
    <w:p w14:paraId="6C568509" w14:textId="77777777" w:rsidR="001C272C" w:rsidRDefault="001C272C" w:rsidP="00A91BFF">
      <w:pPr>
        <w:jc w:val="both"/>
        <w:sectPr w:rsidR="001C272C" w:rsidSect="001B3B60">
          <w:type w:val="continuous"/>
          <w:pgSz w:w="11906" w:h="16838"/>
          <w:pgMar w:top="1417" w:right="1417" w:bottom="1417" w:left="1417" w:header="708" w:footer="708" w:gutter="0"/>
          <w:cols w:space="708"/>
          <w:docGrid w:linePitch="360"/>
        </w:sectPr>
      </w:pPr>
    </w:p>
    <w:p w14:paraId="37FBE020" w14:textId="77777777" w:rsidR="001C272C" w:rsidRDefault="00A91BFF" w:rsidP="00A91BFF">
      <w:pPr>
        <w:jc w:val="both"/>
        <w:sectPr w:rsidR="001C272C" w:rsidSect="001C272C">
          <w:type w:val="continuous"/>
          <w:pgSz w:w="11906" w:h="16838"/>
          <w:pgMar w:top="1417" w:right="1417" w:bottom="1417" w:left="1417" w:header="708" w:footer="708" w:gutter="0"/>
          <w:cols w:num="2" w:space="708"/>
          <w:docGrid w:linePitch="360"/>
        </w:sectPr>
      </w:pPr>
      <w:r>
        <w:t>Le nettoyage de chaque stand est effectué dans les conditions et dé</w:t>
      </w:r>
      <w:r w:rsidR="001C272C">
        <w:t>lais indiqués par l’ASPT</w:t>
      </w:r>
      <w:r>
        <w:t xml:space="preserve"> aux exposants</w:t>
      </w:r>
    </w:p>
    <w:p w14:paraId="22F63B6F" w14:textId="44EE5EA2" w:rsidR="00BE72F2" w:rsidRPr="001C272C" w:rsidRDefault="00A91BFF" w:rsidP="001C272C">
      <w:pPr>
        <w:spacing w:after="0"/>
        <w:jc w:val="both"/>
      </w:pPr>
      <w:r w:rsidRPr="000D49B2">
        <w:rPr>
          <w:b/>
          <w:color w:val="4472C4" w:themeColor="accent1"/>
        </w:rPr>
        <w:t xml:space="preserve">ASSURANCE </w:t>
      </w:r>
    </w:p>
    <w:p w14:paraId="19CC0230" w14:textId="71E92F8B" w:rsidR="00BE72F2" w:rsidRPr="00BE72F2" w:rsidRDefault="00A91BFF" w:rsidP="00BE72F2">
      <w:pPr>
        <w:spacing w:after="0"/>
        <w:jc w:val="both"/>
        <w:rPr>
          <w:b/>
        </w:rPr>
      </w:pPr>
      <w:r w:rsidRPr="00BE72F2">
        <w:rPr>
          <w:b/>
        </w:rPr>
        <w:t xml:space="preserve">Article 17 – Assurance Responsabilité Civile </w:t>
      </w:r>
    </w:p>
    <w:p w14:paraId="63C29CE4" w14:textId="77777777" w:rsidR="001C272C" w:rsidRDefault="001C272C" w:rsidP="00A91BFF">
      <w:pPr>
        <w:jc w:val="both"/>
        <w:sectPr w:rsidR="001C272C" w:rsidSect="001B3B60">
          <w:type w:val="continuous"/>
          <w:pgSz w:w="11906" w:h="16838"/>
          <w:pgMar w:top="1417" w:right="1417" w:bottom="1417" w:left="1417" w:header="708" w:footer="708" w:gutter="0"/>
          <w:cols w:space="708"/>
          <w:docGrid w:linePitch="360"/>
        </w:sectPr>
      </w:pPr>
    </w:p>
    <w:p w14:paraId="527F1D33" w14:textId="3CB15714" w:rsidR="00BE72F2" w:rsidRDefault="00A91BFF" w:rsidP="00A91BFF">
      <w:pPr>
        <w:jc w:val="both"/>
      </w:pPr>
      <w:r>
        <w:t xml:space="preserve">Une assurance </w:t>
      </w:r>
      <w:r w:rsidR="001C272C">
        <w:t>est souscrite par l’ASPT</w:t>
      </w:r>
      <w:r>
        <w:t xml:space="preserve"> contre les conséquences pécuniaires de sa responsabilité civile en qualité d’organisateur. Les exposants p</w:t>
      </w:r>
      <w:r w:rsidR="001C272C">
        <w:t>euvent demander à l’ASPT</w:t>
      </w:r>
      <w:r>
        <w:t xml:space="preserve"> de </w:t>
      </w:r>
      <w:r>
        <w:t xml:space="preserve">leurs transmettre une attestation d’assurance précisant les risques couverts, les limites de garantie ainsi que la période de couverture. </w:t>
      </w:r>
    </w:p>
    <w:p w14:paraId="5D88C23C" w14:textId="77777777" w:rsidR="001C272C" w:rsidRDefault="001C272C" w:rsidP="00A91BFF">
      <w:pPr>
        <w:jc w:val="both"/>
        <w:sectPr w:rsidR="001C272C" w:rsidSect="001C272C">
          <w:type w:val="continuous"/>
          <w:pgSz w:w="11906" w:h="16838"/>
          <w:pgMar w:top="1417" w:right="1417" w:bottom="1417" w:left="1417" w:header="708" w:footer="708" w:gutter="0"/>
          <w:cols w:num="2" w:space="708"/>
          <w:docGrid w:linePitch="360"/>
        </w:sectPr>
      </w:pPr>
    </w:p>
    <w:p w14:paraId="6110480A" w14:textId="77777777" w:rsidR="002A3C30" w:rsidRDefault="002A3C30" w:rsidP="00A91BFF">
      <w:pPr>
        <w:jc w:val="both"/>
        <w:rPr>
          <w:b/>
        </w:rPr>
        <w:sectPr w:rsidR="002A3C30" w:rsidSect="00BE0187">
          <w:type w:val="continuous"/>
          <w:pgSz w:w="11906" w:h="16838"/>
          <w:pgMar w:top="1417" w:right="1417" w:bottom="1417" w:left="1417" w:header="708" w:footer="708" w:gutter="0"/>
          <w:cols w:num="2" w:space="708"/>
          <w:docGrid w:linePitch="360"/>
        </w:sectPr>
      </w:pPr>
    </w:p>
    <w:p w14:paraId="670E55F3" w14:textId="0143B703" w:rsidR="008865FB" w:rsidRPr="008865FB" w:rsidRDefault="00022B32" w:rsidP="008865FB">
      <w:pPr>
        <w:jc w:val="both"/>
      </w:pPr>
      <w:r w:rsidRPr="008865FB">
        <w:rPr>
          <w:b/>
          <w:color w:val="4472C4" w:themeColor="accent1"/>
        </w:rPr>
        <w:lastRenderedPageBreak/>
        <w:t xml:space="preserve">SERVICES </w:t>
      </w:r>
    </w:p>
    <w:p w14:paraId="11E52160" w14:textId="50C6DC53" w:rsidR="00603C3D" w:rsidRPr="00603C3D" w:rsidRDefault="002A3C30" w:rsidP="008865FB">
      <w:pPr>
        <w:jc w:val="both"/>
        <w:rPr>
          <w:b/>
        </w:rPr>
      </w:pPr>
      <w:r>
        <w:rPr>
          <w:b/>
        </w:rPr>
        <w:t>Article 18</w:t>
      </w:r>
      <w:r w:rsidR="00022B32" w:rsidRPr="00603C3D">
        <w:rPr>
          <w:b/>
        </w:rPr>
        <w:t xml:space="preserve"> – Fluides </w:t>
      </w:r>
    </w:p>
    <w:p w14:paraId="21980CAE" w14:textId="77777777" w:rsidR="008A2436" w:rsidRDefault="008A2436" w:rsidP="008865FB">
      <w:pPr>
        <w:jc w:val="both"/>
        <w:sectPr w:rsidR="008A2436" w:rsidSect="001B3B60">
          <w:type w:val="continuous"/>
          <w:pgSz w:w="11906" w:h="16838"/>
          <w:pgMar w:top="1417" w:right="1417" w:bottom="1417" w:left="1417" w:header="708" w:footer="708" w:gutter="0"/>
          <w:cols w:space="708"/>
          <w:docGrid w:linePitch="360"/>
        </w:sectPr>
      </w:pPr>
    </w:p>
    <w:p w14:paraId="77FF377D" w14:textId="1500A05D" w:rsidR="002A3C30" w:rsidRPr="002A3C30" w:rsidRDefault="00022B32" w:rsidP="008865FB">
      <w:pPr>
        <w:jc w:val="both"/>
        <w:sectPr w:rsidR="002A3C30" w:rsidRPr="002A3C30" w:rsidSect="008A2436">
          <w:type w:val="continuous"/>
          <w:pgSz w:w="11906" w:h="16838"/>
          <w:pgMar w:top="1417" w:right="1417" w:bottom="1417" w:left="1417" w:header="708" w:footer="708" w:gutter="0"/>
          <w:cols w:num="2" w:space="708"/>
          <w:docGrid w:linePitch="360"/>
        </w:sectPr>
      </w:pPr>
      <w:r>
        <w:t xml:space="preserve">Comme indiqué dans le dossier technique, les raccordements des espaces d’exposition aux réseaux d’électricité, de téléphone, de distribution d’eau ou d’air comprimé sont faits aux frais des exposants qui en font la demande </w:t>
      </w:r>
      <w:r>
        <w:t xml:space="preserve">dans les délais requis et en fonction des possibilités techniques des locaux d’exposition. Toute demande les concernant doit être adressée </w:t>
      </w:r>
      <w:r w:rsidR="008A2436">
        <w:t>à l’ASPT</w:t>
      </w:r>
      <w:r>
        <w:t xml:space="preserve">. </w:t>
      </w:r>
    </w:p>
    <w:p w14:paraId="5414BD44" w14:textId="77777777" w:rsidR="002A3C30" w:rsidRPr="002A3C30" w:rsidRDefault="002A3C30" w:rsidP="008865FB">
      <w:pPr>
        <w:jc w:val="both"/>
        <w:rPr>
          <w:b/>
          <w:sz w:val="8"/>
        </w:rPr>
      </w:pPr>
    </w:p>
    <w:p w14:paraId="4F92E8B1" w14:textId="36463C3A" w:rsidR="00603C3D" w:rsidRPr="00603C3D" w:rsidRDefault="002A3C30" w:rsidP="008865FB">
      <w:pPr>
        <w:jc w:val="both"/>
        <w:rPr>
          <w:b/>
        </w:rPr>
      </w:pPr>
      <w:r>
        <w:rPr>
          <w:b/>
        </w:rPr>
        <w:t>Article 19</w:t>
      </w:r>
      <w:r w:rsidR="00022B32" w:rsidRPr="00603C3D">
        <w:rPr>
          <w:b/>
        </w:rPr>
        <w:t xml:space="preserve"> – Douanes </w:t>
      </w:r>
    </w:p>
    <w:p w14:paraId="2069A36A" w14:textId="77777777" w:rsidR="008A2436" w:rsidRDefault="008A2436" w:rsidP="008865FB">
      <w:pPr>
        <w:jc w:val="both"/>
        <w:sectPr w:rsidR="008A2436" w:rsidSect="001B3B60">
          <w:type w:val="continuous"/>
          <w:pgSz w:w="11906" w:h="16838"/>
          <w:pgMar w:top="1417" w:right="1417" w:bottom="1417" w:left="1417" w:header="708" w:footer="708" w:gutter="0"/>
          <w:cols w:space="708"/>
          <w:docGrid w:linePitch="360"/>
        </w:sectPr>
      </w:pPr>
    </w:p>
    <w:p w14:paraId="304F98AE" w14:textId="5B4FD34A" w:rsidR="008865FB" w:rsidRDefault="00022B32" w:rsidP="008865FB">
      <w:pPr>
        <w:jc w:val="both"/>
      </w:pPr>
      <w:r>
        <w:t>Il appartient à chaque exposant d’accomplir les formalités douanières pour les matériels et produits en provenan</w:t>
      </w:r>
      <w:r w:rsidR="008A2436">
        <w:t>ce de l’étranger. L’ASPT</w:t>
      </w:r>
      <w:r>
        <w:t xml:space="preserve"> </w:t>
      </w:r>
      <w:r>
        <w:t xml:space="preserve">ne peut être tenu responsable des difficultés qui pourraient survenir lors de ces formalités. </w:t>
      </w:r>
    </w:p>
    <w:p w14:paraId="40AFC912" w14:textId="77777777" w:rsidR="008A2436" w:rsidRDefault="008A2436" w:rsidP="008865FB">
      <w:pPr>
        <w:jc w:val="both"/>
        <w:rPr>
          <w:b/>
        </w:rPr>
        <w:sectPr w:rsidR="008A2436" w:rsidSect="008A2436">
          <w:type w:val="continuous"/>
          <w:pgSz w:w="11906" w:h="16838"/>
          <w:pgMar w:top="1417" w:right="1417" w:bottom="1417" w:left="1417" w:header="708" w:footer="708" w:gutter="0"/>
          <w:cols w:num="2" w:space="708"/>
          <w:docGrid w:linePitch="360"/>
        </w:sectPr>
      </w:pPr>
    </w:p>
    <w:p w14:paraId="32C199D9" w14:textId="77777777" w:rsidR="008A2436" w:rsidRPr="00894342" w:rsidRDefault="008A2436" w:rsidP="008865FB">
      <w:pPr>
        <w:jc w:val="both"/>
        <w:rPr>
          <w:b/>
          <w:sz w:val="2"/>
        </w:rPr>
      </w:pPr>
    </w:p>
    <w:p w14:paraId="5AE6A03A" w14:textId="5F745FE0" w:rsidR="00603C3D" w:rsidRPr="00603C3D" w:rsidRDefault="002A3C30" w:rsidP="008865FB">
      <w:pPr>
        <w:jc w:val="both"/>
        <w:rPr>
          <w:b/>
        </w:rPr>
      </w:pPr>
      <w:r>
        <w:rPr>
          <w:b/>
        </w:rPr>
        <w:t>Article 20</w:t>
      </w:r>
      <w:r w:rsidR="00022B32" w:rsidRPr="00603C3D">
        <w:rPr>
          <w:b/>
        </w:rPr>
        <w:t xml:space="preserve"> – Propriété intellectuelle </w:t>
      </w:r>
    </w:p>
    <w:p w14:paraId="46588EBA"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120628F8" w14:textId="24576FF9" w:rsidR="00894342" w:rsidRDefault="00022B32" w:rsidP="008865FB">
      <w:pPr>
        <w:jc w:val="both"/>
        <w:sectPr w:rsidR="00894342" w:rsidSect="00894342">
          <w:type w:val="continuous"/>
          <w:pgSz w:w="11906" w:h="16838"/>
          <w:pgMar w:top="1417" w:right="1417" w:bottom="1417" w:left="1417" w:header="708" w:footer="708" w:gutter="0"/>
          <w:cols w:num="2" w:space="708"/>
          <w:docGrid w:linePitch="360"/>
        </w:sectPr>
      </w:pPr>
      <w:r>
        <w:t xml:space="preserve">L’exposant garantit à l’organisateur qu’il est titulaire ou a obtenu des titulaires de droits de propriété intellectuelle sur les biens / créations / marques qu’il expose, l’ensemble des droits et/ou autorisations nécessaires à leur présentation au sein du Salon. L’organisateur n’accepte aucune responsabilité dans ce domaine. L’organisateur aura la possibilité d’exclure les exposants condamnés en matière de propriété intellectuelle, notamment, pour des faits de contrefaçon. L’exposant autorise l’organisateur à reproduire et représenter, pour la durée de vie des droits concernés, à titre gracieux et sur tout territoire, les biens, créations et marques qu’il expose, dans les </w:t>
      </w:r>
      <w:r>
        <w:t>outils de communication du salon (Internet, catalogue d’exposition, cartons d’invitation, plan visiteurs, vidéo promotionnelle…) comme plus généralement sur tous supports destinés à la promotion du salon (photographie sur le salon à paraître dans la presse classique ou Internet, émission de télévision réalisée sur/ lors du salon, sans que cette liste soit limitative). L’exposant garantit à l’organisateur qu’il a obtenu des titulaires de droits de propriété intellect</w:t>
      </w:r>
      <w:r w:rsidR="002A3C30">
        <w:t>uelle sur les biens / créations</w:t>
      </w:r>
      <w:r>
        <w:t>/ marque et autres (plan, concepts, services …) qu’il expo</w:t>
      </w:r>
      <w:r w:rsidR="002A3C30">
        <w:t xml:space="preserve">se, l’ensemble des droits et/ou </w:t>
      </w:r>
      <w:r>
        <w:t>autorisations nécessaires p</w:t>
      </w:r>
      <w:r w:rsidR="002A3C30">
        <w:t>our les utilisations précitées</w:t>
      </w:r>
    </w:p>
    <w:p w14:paraId="6A733DF3" w14:textId="276962FC" w:rsidR="00603C3D" w:rsidRPr="00603C3D" w:rsidRDefault="002A3C30" w:rsidP="008865FB">
      <w:pPr>
        <w:jc w:val="both"/>
        <w:rPr>
          <w:b/>
        </w:rPr>
      </w:pPr>
      <w:r>
        <w:rPr>
          <w:b/>
        </w:rPr>
        <w:t>Article 21</w:t>
      </w:r>
      <w:r w:rsidR="00022B32" w:rsidRPr="00603C3D">
        <w:rPr>
          <w:b/>
        </w:rPr>
        <w:t xml:space="preserve"> – Société de gestion collective </w:t>
      </w:r>
    </w:p>
    <w:p w14:paraId="227219E7"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5EC97AA8" w14:textId="437CB680" w:rsidR="00603C3D" w:rsidRDefault="00022B32" w:rsidP="008865FB">
      <w:pPr>
        <w:jc w:val="both"/>
      </w:pPr>
      <w:r>
        <w:t xml:space="preserve">L’exposant traite directement avec les sociétés de perception et de répartition des droits (SACEM…) s’il fait usage de musique de quelque façon que ce soit dans l’enceinte du </w:t>
      </w:r>
      <w:r>
        <w:t xml:space="preserve">salon, l’organisateur déclinant toute responsabilité à ce titre. L’organisateur pourra, à tout moment, demander à l’exposant de produire les justificatifs correspondants. </w:t>
      </w:r>
    </w:p>
    <w:p w14:paraId="74033854" w14:textId="77777777" w:rsidR="00894342" w:rsidRDefault="00894342" w:rsidP="008865FB">
      <w:pPr>
        <w:jc w:val="both"/>
        <w:rPr>
          <w:b/>
        </w:rPr>
        <w:sectPr w:rsidR="00894342" w:rsidSect="00894342">
          <w:type w:val="continuous"/>
          <w:pgSz w:w="11906" w:h="16838"/>
          <w:pgMar w:top="1417" w:right="1417" w:bottom="1417" w:left="1417" w:header="708" w:footer="708" w:gutter="0"/>
          <w:cols w:num="2" w:space="708"/>
          <w:docGrid w:linePitch="360"/>
        </w:sectPr>
      </w:pPr>
    </w:p>
    <w:p w14:paraId="1C15FF05" w14:textId="77777777" w:rsidR="00C82959" w:rsidRDefault="00C82959" w:rsidP="008865FB">
      <w:pPr>
        <w:jc w:val="both"/>
        <w:rPr>
          <w:b/>
        </w:rPr>
      </w:pPr>
    </w:p>
    <w:p w14:paraId="6B0A4C29" w14:textId="77777777" w:rsidR="00FC0510" w:rsidRDefault="00FC0510" w:rsidP="008865FB">
      <w:pPr>
        <w:jc w:val="both"/>
        <w:rPr>
          <w:b/>
        </w:rPr>
      </w:pPr>
    </w:p>
    <w:p w14:paraId="70283F6B" w14:textId="579ABF8C" w:rsidR="008A2436" w:rsidRPr="008A2436" w:rsidRDefault="002A3C30" w:rsidP="008865FB">
      <w:pPr>
        <w:jc w:val="both"/>
        <w:rPr>
          <w:b/>
        </w:rPr>
      </w:pPr>
      <w:r>
        <w:rPr>
          <w:b/>
        </w:rPr>
        <w:lastRenderedPageBreak/>
        <w:t>Article 22</w:t>
      </w:r>
      <w:r w:rsidR="00022B32" w:rsidRPr="008A2436">
        <w:rPr>
          <w:b/>
        </w:rPr>
        <w:t xml:space="preserve"> – Lecteur de badges </w:t>
      </w:r>
    </w:p>
    <w:p w14:paraId="7F06F59E"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146AB109" w14:textId="49C95C5F" w:rsidR="00894342" w:rsidRPr="002A3C30" w:rsidRDefault="00022B32" w:rsidP="008865FB">
      <w:pPr>
        <w:jc w:val="both"/>
        <w:sectPr w:rsidR="00894342" w:rsidRPr="002A3C30" w:rsidSect="00894342">
          <w:type w:val="continuous"/>
          <w:pgSz w:w="11906" w:h="16838"/>
          <w:pgMar w:top="1417" w:right="1417" w:bottom="1417" w:left="1417" w:header="708" w:footer="708" w:gutter="0"/>
          <w:cols w:num="2" w:space="708"/>
          <w:docGrid w:linePitch="360"/>
        </w:sectPr>
      </w:pPr>
      <w:r>
        <w:t xml:space="preserve">Certains salons proposent contre paiement la réservation de lecteurs de badges et/ ou de Smartphones équipés d’une application lecteurs de badges (ci-après « les lecteurs »). Ces lecteurs sont testés par le prestataire avant toute mise à disposition à l’exposant et sont réputés être remis à l’exposant en bon état de </w:t>
      </w:r>
      <w:r>
        <w:t xml:space="preserve">fonctionnement. Il appartient à l’exposant de procéder à une bonne utilisation du lecteur de badge pendant le salon afin de permettre la sauvegarde correcte des données, </w:t>
      </w:r>
      <w:r w:rsidR="00603C3D">
        <w:t>l’ASPT</w:t>
      </w:r>
      <w:r>
        <w:t xml:space="preserve"> déclinant toute responsabilité en cas de mauvaise manipula</w:t>
      </w:r>
      <w:r w:rsidR="002A3C30">
        <w:t>tion du lecteur par l’exposant.</w:t>
      </w:r>
    </w:p>
    <w:p w14:paraId="178B1C3B" w14:textId="4909B4D2" w:rsidR="00603C3D" w:rsidRPr="008A2436" w:rsidRDefault="00022B32" w:rsidP="008865FB">
      <w:pPr>
        <w:jc w:val="both"/>
        <w:rPr>
          <w:b/>
          <w:color w:val="4472C4" w:themeColor="accent1"/>
        </w:rPr>
      </w:pPr>
      <w:r w:rsidRPr="008A2436">
        <w:rPr>
          <w:b/>
          <w:color w:val="4472C4" w:themeColor="accent1"/>
        </w:rPr>
        <w:t xml:space="preserve">CATALOGUES </w:t>
      </w:r>
    </w:p>
    <w:p w14:paraId="3AF33CD5" w14:textId="78EF15DA" w:rsidR="00603C3D" w:rsidRPr="008A2436" w:rsidRDefault="002A3C30" w:rsidP="008865FB">
      <w:pPr>
        <w:jc w:val="both"/>
        <w:rPr>
          <w:b/>
        </w:rPr>
      </w:pPr>
      <w:r>
        <w:rPr>
          <w:b/>
        </w:rPr>
        <w:t>Article 23</w:t>
      </w:r>
      <w:r w:rsidR="00022B32" w:rsidRPr="008A2436">
        <w:rPr>
          <w:b/>
        </w:rPr>
        <w:t xml:space="preserve"> – Catalogues </w:t>
      </w:r>
    </w:p>
    <w:p w14:paraId="62FEC938"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64A1118C" w14:textId="334C1E9D" w:rsidR="00894342" w:rsidRPr="002A3C30" w:rsidRDefault="00022B32" w:rsidP="008865FB">
      <w:pPr>
        <w:jc w:val="both"/>
        <w:sectPr w:rsidR="00894342" w:rsidRPr="002A3C30" w:rsidSect="00894342">
          <w:type w:val="continuous"/>
          <w:pgSz w:w="11906" w:h="16838"/>
          <w:pgMar w:top="1417" w:right="1417" w:bottom="1417" w:left="1417" w:header="708" w:footer="708" w:gutter="0"/>
          <w:cols w:num="2" w:space="708"/>
          <w:docGrid w:linePitch="360"/>
        </w:sectPr>
      </w:pPr>
      <w:r>
        <w:t xml:space="preserve">L’organisateur est seul titulaire des droits de publication et de vente du catalogue des exposants, ainsi que des droits se rapportant à la publicité contenue dans ce catalogue. Il peut concéder tout ou partie de ces droits. Les éléments nécessaires à la rédaction et à la publication du catalogue, sous sa forme papier et électronique, sont renseignés par les exposants sur le site internet du salon, sous leur seule responsabilité. L’organisateur ne peut être tenu responsable des omissions ou des erreurs de reproduction, de composition ou autres, qui peuvent se produire. Les exposants autorisent l’organisateur à publier, sous forme électronique et imprimée, les renseignements fournis, sur le site Internet du salon, dans le catalogue officiel des exposants et/ou dans tout autre support concernant le salon (guides de visite, plans muraux etc.). L’exposant garantit que les noms, les logos et, </w:t>
      </w:r>
      <w:r>
        <w:t>plus généralement, tout le contenu renseigné par lui en vue de leur publication sur le site Internet du salon ou dans le catalogue officiel ou un autre répertoire (guides de visite, plans muraux etc.), n’enfreignent pas les droits de propriété intellectuelle d’un tiers et ne présentent pas un caractère diffamatoire, obscène, indécent, blasphématoire ou illicite. L’exposant s’engage à indemniser l’organisateur et prendre à sa charge tous les dommages, pertes de profits, perte de réputation, sinistres, coûts et dépenses subis ou engagés par l’organisateur en raison d’une violation de la garantie ci-dessus. L’organisateur se réserve le droit de modifier, supprimer ou grouper les inscriptions chaque fois qu’il le jugera utile, ainsi que de refuser ou modifier les textes d’annonces payantes qui seraient de natur</w:t>
      </w:r>
      <w:r w:rsidR="00C82959">
        <w:t>e à nuire aux autres exposant</w:t>
      </w:r>
    </w:p>
    <w:p w14:paraId="0A3F3259" w14:textId="77777777" w:rsidR="00C82959" w:rsidRDefault="00C82959" w:rsidP="008865FB">
      <w:pPr>
        <w:jc w:val="both"/>
        <w:rPr>
          <w:b/>
          <w:color w:val="4472C4" w:themeColor="accent1"/>
        </w:rPr>
      </w:pPr>
    </w:p>
    <w:p w14:paraId="3017FD62" w14:textId="637A4474" w:rsidR="00603C3D" w:rsidRPr="008A2436" w:rsidRDefault="00022B32" w:rsidP="008865FB">
      <w:pPr>
        <w:jc w:val="both"/>
        <w:rPr>
          <w:b/>
          <w:color w:val="4472C4" w:themeColor="accent1"/>
        </w:rPr>
      </w:pPr>
      <w:r w:rsidRPr="008A2436">
        <w:rPr>
          <w:b/>
          <w:color w:val="4472C4" w:themeColor="accent1"/>
        </w:rPr>
        <w:t xml:space="preserve">CARTES D’ENTRÉE </w:t>
      </w:r>
    </w:p>
    <w:p w14:paraId="422AD7BA" w14:textId="72F2BA06" w:rsidR="00603C3D" w:rsidRPr="008A2436" w:rsidRDefault="001044B5" w:rsidP="008865FB">
      <w:pPr>
        <w:jc w:val="both"/>
        <w:rPr>
          <w:b/>
        </w:rPr>
      </w:pPr>
      <w:r>
        <w:rPr>
          <w:b/>
        </w:rPr>
        <w:t>Article 24</w:t>
      </w:r>
      <w:r w:rsidR="00022B32" w:rsidRPr="008A2436">
        <w:rPr>
          <w:b/>
        </w:rPr>
        <w:t xml:space="preserve"> – « Laissez-passer exposant » </w:t>
      </w:r>
    </w:p>
    <w:p w14:paraId="5120EF8C"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62BD2F10" w14:textId="583DACF4" w:rsidR="008A2436" w:rsidRDefault="00022B32" w:rsidP="008865FB">
      <w:pPr>
        <w:jc w:val="both"/>
      </w:pPr>
      <w:r>
        <w:t xml:space="preserve">Des « laissez-passer exposant « donnant droit d’accès au salon sont, dans des conditions déterminées par l’organisateur, délivrés aux </w:t>
      </w:r>
      <w:r>
        <w:t xml:space="preserve">exposants. Les « laissez-passer exposant « non utilisés ne sont ni repris ni remboursés lorsque l’organisateur les a délivrés contre paiement. </w:t>
      </w:r>
    </w:p>
    <w:p w14:paraId="4EDF5F38" w14:textId="77777777" w:rsidR="00894342" w:rsidRDefault="00894342" w:rsidP="008865FB">
      <w:pPr>
        <w:jc w:val="both"/>
        <w:rPr>
          <w:b/>
        </w:rPr>
        <w:sectPr w:rsidR="00894342" w:rsidSect="00894342">
          <w:type w:val="continuous"/>
          <w:pgSz w:w="11906" w:h="16838"/>
          <w:pgMar w:top="1417" w:right="1417" w:bottom="1417" w:left="1417" w:header="708" w:footer="708" w:gutter="0"/>
          <w:cols w:num="2" w:space="708"/>
          <w:docGrid w:linePitch="360"/>
        </w:sectPr>
      </w:pPr>
    </w:p>
    <w:p w14:paraId="0EC36BD5" w14:textId="3552660B" w:rsidR="008A2436" w:rsidRPr="008A2436" w:rsidRDefault="001044B5" w:rsidP="008865FB">
      <w:pPr>
        <w:jc w:val="both"/>
        <w:rPr>
          <w:b/>
        </w:rPr>
      </w:pPr>
      <w:r>
        <w:rPr>
          <w:b/>
        </w:rPr>
        <w:lastRenderedPageBreak/>
        <w:t>Article 25</w:t>
      </w:r>
      <w:r w:rsidR="00022B32" w:rsidRPr="008A2436">
        <w:rPr>
          <w:b/>
        </w:rPr>
        <w:t xml:space="preserve"> – Cartes d’invitation </w:t>
      </w:r>
    </w:p>
    <w:p w14:paraId="4FD78181"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02356B77" w14:textId="6A54BCAF" w:rsidR="00603C3D" w:rsidRDefault="00022B32" w:rsidP="008865FB">
      <w:pPr>
        <w:jc w:val="both"/>
      </w:pPr>
      <w:r>
        <w:t xml:space="preserve">Des cartes d’invitation destinées aux visiteurs que les exposants désirent inviter sont, dans des conditions déterminées par l’organisateur, délivrées aux exposants. Toute demande abusive et/ou autre utilisation sera susceptible d’entraîner des poursuites. Les cartes non </w:t>
      </w:r>
      <w:r>
        <w:t xml:space="preserve">utilisées ne sont ni reprises ni remboursées lorsque l’organisateur les a délivrées contre paiement. Seuls les laissez-passer, les cartes d’invitation et les billets d’entrée délivrés par l’organisateur peuvent donner accès au salon. </w:t>
      </w:r>
    </w:p>
    <w:p w14:paraId="489BED5A" w14:textId="77777777" w:rsidR="00894342" w:rsidRDefault="00894342" w:rsidP="008865FB">
      <w:pPr>
        <w:jc w:val="both"/>
        <w:rPr>
          <w:b/>
        </w:rPr>
        <w:sectPr w:rsidR="00894342" w:rsidSect="00894342">
          <w:type w:val="continuous"/>
          <w:pgSz w:w="11906" w:h="16838"/>
          <w:pgMar w:top="1417" w:right="1417" w:bottom="1417" w:left="1417" w:header="708" w:footer="708" w:gutter="0"/>
          <w:cols w:num="2" w:space="708"/>
          <w:docGrid w:linePitch="360"/>
        </w:sectPr>
      </w:pPr>
    </w:p>
    <w:p w14:paraId="11F09304" w14:textId="77777777" w:rsidR="001044B5" w:rsidRDefault="001044B5" w:rsidP="008865FB">
      <w:pPr>
        <w:jc w:val="both"/>
        <w:rPr>
          <w:b/>
        </w:rPr>
      </w:pPr>
    </w:p>
    <w:p w14:paraId="005E9512" w14:textId="5FE9E357" w:rsidR="008A2436" w:rsidRPr="008A2436" w:rsidRDefault="001044B5" w:rsidP="008865FB">
      <w:pPr>
        <w:jc w:val="both"/>
        <w:rPr>
          <w:b/>
        </w:rPr>
      </w:pPr>
      <w:r>
        <w:rPr>
          <w:b/>
        </w:rPr>
        <w:t>Article 26</w:t>
      </w:r>
      <w:r w:rsidR="00022B32" w:rsidRPr="008A2436">
        <w:rPr>
          <w:b/>
        </w:rPr>
        <w:t xml:space="preserve"> – Vente à la sauvette de titres d’accès </w:t>
      </w:r>
    </w:p>
    <w:p w14:paraId="639E0C91"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0B4636DF" w14:textId="29353F1E" w:rsidR="00603C3D" w:rsidRDefault="00022B32" w:rsidP="008865FB">
      <w:pPr>
        <w:jc w:val="both"/>
      </w:pPr>
      <w:r>
        <w:t xml:space="preserve">Les titres d’entrées (badges, </w:t>
      </w:r>
      <w:proofErr w:type="spellStart"/>
      <w:r>
        <w:t>pass</w:t>
      </w:r>
      <w:proofErr w:type="spellEnd"/>
      <w:r>
        <w:t xml:space="preserve"> etc.) ne peuvent être revendus sous peine de poursuite. La vente à la sauvette des titres </w:t>
      </w:r>
      <w:r>
        <w:t>d’accès est un délit passible d’interpellation et d’arres</w:t>
      </w:r>
      <w:r w:rsidR="008C55B8">
        <w:t>tation par les forces de police</w:t>
      </w:r>
      <w:r>
        <w:t xml:space="preserve">. </w:t>
      </w:r>
    </w:p>
    <w:p w14:paraId="74E90F1C" w14:textId="77777777" w:rsidR="00894342" w:rsidRDefault="00894342" w:rsidP="008865FB">
      <w:pPr>
        <w:jc w:val="both"/>
        <w:rPr>
          <w:b/>
          <w:color w:val="4472C4" w:themeColor="accent1"/>
        </w:rPr>
        <w:sectPr w:rsidR="00894342" w:rsidSect="00894342">
          <w:type w:val="continuous"/>
          <w:pgSz w:w="11906" w:h="16838"/>
          <w:pgMar w:top="1417" w:right="1417" w:bottom="1417" w:left="1417" w:header="708" w:footer="708" w:gutter="0"/>
          <w:cols w:num="2" w:space="708"/>
          <w:docGrid w:linePitch="360"/>
        </w:sectPr>
      </w:pPr>
    </w:p>
    <w:p w14:paraId="7AC33A9C" w14:textId="77777777" w:rsidR="008C55B8" w:rsidRDefault="008C55B8" w:rsidP="008865FB">
      <w:pPr>
        <w:jc w:val="both"/>
        <w:rPr>
          <w:b/>
          <w:color w:val="4472C4" w:themeColor="accent1"/>
        </w:rPr>
      </w:pPr>
    </w:p>
    <w:p w14:paraId="4F8BFF7A" w14:textId="4154FFE0" w:rsidR="00603C3D" w:rsidRPr="00603C3D" w:rsidRDefault="00022B32" w:rsidP="008865FB">
      <w:pPr>
        <w:jc w:val="both"/>
        <w:rPr>
          <w:b/>
          <w:color w:val="4472C4" w:themeColor="accent1"/>
        </w:rPr>
      </w:pPr>
      <w:r w:rsidRPr="00603C3D">
        <w:rPr>
          <w:b/>
          <w:color w:val="4472C4" w:themeColor="accent1"/>
        </w:rPr>
        <w:t xml:space="preserve">SÉCURITE </w:t>
      </w:r>
    </w:p>
    <w:p w14:paraId="23FE9A31" w14:textId="254BE3C0" w:rsidR="00603C3D" w:rsidRPr="008A2436" w:rsidRDefault="001044B5" w:rsidP="008865FB">
      <w:pPr>
        <w:jc w:val="both"/>
        <w:rPr>
          <w:b/>
        </w:rPr>
      </w:pPr>
      <w:r>
        <w:rPr>
          <w:b/>
        </w:rPr>
        <w:t>Article 27</w:t>
      </w:r>
      <w:r w:rsidR="00022B32" w:rsidRPr="008A2436">
        <w:rPr>
          <w:b/>
        </w:rPr>
        <w:t xml:space="preserve"> – Sécurité </w:t>
      </w:r>
    </w:p>
    <w:p w14:paraId="09A547E6"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0DC7F6D0" w14:textId="7A0D3D20" w:rsidR="00894342" w:rsidRPr="001044B5" w:rsidRDefault="00022B32" w:rsidP="008865FB">
      <w:pPr>
        <w:jc w:val="both"/>
        <w:sectPr w:rsidR="00894342" w:rsidRPr="001044B5" w:rsidSect="00894342">
          <w:type w:val="continuous"/>
          <w:pgSz w:w="11906" w:h="16838"/>
          <w:pgMar w:top="1417" w:right="1417" w:bottom="1417" w:left="1417" w:header="708" w:footer="708" w:gutter="0"/>
          <w:cols w:num="2" w:space="708"/>
          <w:docGrid w:linePitch="360"/>
        </w:sectPr>
      </w:pPr>
      <w:r>
        <w:t xml:space="preserve">L’exposant est tenu de respecter les mesures de sécurité imposées par les autorités administratives ou judiciaires, ainsi que les mesures de sécurité éventuellement prises par l’organisateur et de permettre leur vérification. La surveillance qui incombe exclusivement à l’exposant est assurée sous le contrôle de l’organisateur ; ses décisions concernant l’application des règles de sécurité sont d’exécution immédiate. L’organisateur se réserve le droit d’interdire l’entrée ou de faire expulser toute personne, visiteur ou exposant, </w:t>
      </w:r>
      <w:r>
        <w:t xml:space="preserve">dont la présence ou le comportement présenteraient un risque à la sécurité, la tranquillité ou l’image du salon et/ou à l’intégrité du site. L’exposant s’engage à respecter l’ensemble des contraintes d’utilisations et normes d’hygiène et de sécurité en vigueur sur le Parc des Expositions et notamment les dispositions du Cahier des Charges Sécurité et du Règlement Intérieur dont un exemplaire sera tenu à sa disposition par l’organisateur sur site, pendant toute la durée du salon. </w:t>
      </w:r>
    </w:p>
    <w:p w14:paraId="3C78F56F" w14:textId="77777777" w:rsidR="00603C3D" w:rsidRPr="008A2436" w:rsidRDefault="00022B32" w:rsidP="008865FB">
      <w:pPr>
        <w:jc w:val="both"/>
        <w:rPr>
          <w:b/>
          <w:color w:val="4472C4" w:themeColor="accent1"/>
        </w:rPr>
      </w:pPr>
      <w:r w:rsidRPr="008A2436">
        <w:rPr>
          <w:b/>
          <w:color w:val="4472C4" w:themeColor="accent1"/>
        </w:rPr>
        <w:t xml:space="preserve">APPLICATIONS DU RÈGLEMENT – CONTESTATIONS </w:t>
      </w:r>
    </w:p>
    <w:p w14:paraId="5FF2ED3C" w14:textId="4ECCC148" w:rsidR="00603C3D" w:rsidRPr="008A2436" w:rsidRDefault="001044B5" w:rsidP="008865FB">
      <w:pPr>
        <w:jc w:val="both"/>
        <w:rPr>
          <w:b/>
        </w:rPr>
      </w:pPr>
      <w:r>
        <w:rPr>
          <w:b/>
        </w:rPr>
        <w:t>Article 28</w:t>
      </w:r>
      <w:r w:rsidR="00022B32" w:rsidRPr="008A2436">
        <w:rPr>
          <w:b/>
        </w:rPr>
        <w:t xml:space="preserve"> – Application du règlement </w:t>
      </w:r>
    </w:p>
    <w:p w14:paraId="75FC1295"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517DDA2D" w14:textId="6885F45A" w:rsidR="00603C3D" w:rsidRDefault="00022B32" w:rsidP="008865FB">
      <w:pPr>
        <w:jc w:val="both"/>
      </w:pPr>
      <w:r>
        <w:t xml:space="preserve">Toute infraction aux dispositions du présent règlement et, le cas échéant, au règlement intérieur édicté par l’organisateur, peut entraîner l’exclusion de l’exposant contrevenant et ce, même sans mise en demeure, au besoin avec le concours de la force publique. Il en est, notamment, ainsi pour </w:t>
      </w:r>
      <w:r>
        <w:t xml:space="preserve">la non-conformité de l’agencement, des règles de sécurité, la non-occupation de l’espace d’exposition, la présentation de produits non conformes à ceux énumérés dans la demande de participation, la vente à emporter. Une indemnité est alors due par l’exposant à titre de dommages intérêts en réparation des </w:t>
      </w:r>
      <w:r>
        <w:lastRenderedPageBreak/>
        <w:t xml:space="preserve">dommages causés à la manifestation. Cette indemnité est au moins égale au montant de la participation qui reste acquise à l’organisateur, sans préjudice des dommages et intérêts supplémentaires qui pourraient être demandés. L’exposant consent à titre de gage à l’organisateur un droit de rétention sur les articles exposés et les éléments mobiliers ou décoratifs lui appartenant. En cas de </w:t>
      </w:r>
      <w:r>
        <w:t>contradiction entre les dispositions du présent Règlement Général</w:t>
      </w:r>
      <w:r w:rsidR="00894342">
        <w:t xml:space="preserve"> et les conditions d’achat d’un </w:t>
      </w:r>
      <w:r>
        <w:t xml:space="preserve">exposant, il est convenu que les dispositions du présent Règlement Général prévalent. Les éventuelles difficultés d’interprétation du présent Règlement Général dans sa version anglaise, sont résolues par référence au sens du Règlement Général dans sa version française. </w:t>
      </w:r>
    </w:p>
    <w:p w14:paraId="60252E6B" w14:textId="77777777" w:rsidR="00894342" w:rsidRDefault="00894342" w:rsidP="008865FB">
      <w:pPr>
        <w:jc w:val="both"/>
        <w:rPr>
          <w:b/>
        </w:rPr>
        <w:sectPr w:rsidR="00894342" w:rsidSect="00894342">
          <w:type w:val="continuous"/>
          <w:pgSz w:w="11906" w:h="16838"/>
          <w:pgMar w:top="1417" w:right="1417" w:bottom="1417" w:left="1417" w:header="708" w:footer="708" w:gutter="0"/>
          <w:cols w:num="2" w:space="708"/>
          <w:docGrid w:linePitch="360"/>
        </w:sectPr>
      </w:pPr>
    </w:p>
    <w:p w14:paraId="68EEEBFC" w14:textId="77777777" w:rsidR="001044B5" w:rsidRDefault="001044B5" w:rsidP="008865FB">
      <w:pPr>
        <w:jc w:val="both"/>
        <w:rPr>
          <w:b/>
        </w:rPr>
      </w:pPr>
    </w:p>
    <w:p w14:paraId="1E3D17DB" w14:textId="000A67FB" w:rsidR="00603C3D" w:rsidRPr="00894342" w:rsidRDefault="001044B5" w:rsidP="008865FB">
      <w:pPr>
        <w:jc w:val="both"/>
        <w:rPr>
          <w:b/>
        </w:rPr>
      </w:pPr>
      <w:r>
        <w:rPr>
          <w:b/>
        </w:rPr>
        <w:t>Article 29</w:t>
      </w:r>
      <w:r w:rsidR="00022B32" w:rsidRPr="00894342">
        <w:rPr>
          <w:b/>
        </w:rPr>
        <w:t xml:space="preserve"> – Modification du règlement / Indivisibilité </w:t>
      </w:r>
    </w:p>
    <w:p w14:paraId="5152C66F"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6427E2B0" w14:textId="16F1B253" w:rsidR="00603C3D" w:rsidRDefault="00022B32" w:rsidP="008865FB">
      <w:pPr>
        <w:jc w:val="both"/>
      </w:pPr>
      <w:r>
        <w:t xml:space="preserve">L’organisateur se réserve le droit de statuer sur tous les cas non prévus au présent règlement et d’apporter de nouvelles dispositions toutes les fois que cela lui paraîtra nécessaire au bon déroulement du salon. La nullité, pour quelque cause que ce soit, de tout ou partie de l’une des </w:t>
      </w:r>
      <w:r>
        <w:t xml:space="preserve">dispositions du présent règlement n’affectera en aucune manière les autres dispositions de celui-ci. En pareil cas, les Parties s’engagent à négocier de bonne foi la conclusion d’une disposition ayant dans toute la mesure du possible un effet équivalent. </w:t>
      </w:r>
    </w:p>
    <w:p w14:paraId="075F27C9" w14:textId="77777777" w:rsidR="00894342" w:rsidRDefault="00894342" w:rsidP="008865FB">
      <w:pPr>
        <w:jc w:val="both"/>
        <w:rPr>
          <w:b/>
        </w:rPr>
        <w:sectPr w:rsidR="00894342" w:rsidSect="00894342">
          <w:type w:val="continuous"/>
          <w:pgSz w:w="11906" w:h="16838"/>
          <w:pgMar w:top="1417" w:right="1417" w:bottom="1417" w:left="1417" w:header="708" w:footer="708" w:gutter="0"/>
          <w:cols w:num="2" w:space="708"/>
          <w:docGrid w:linePitch="360"/>
        </w:sectPr>
      </w:pPr>
    </w:p>
    <w:p w14:paraId="07B9ECAB" w14:textId="04468B47" w:rsidR="00894342" w:rsidRDefault="001044B5" w:rsidP="008865FB">
      <w:pPr>
        <w:jc w:val="both"/>
      </w:pPr>
      <w:r>
        <w:rPr>
          <w:b/>
        </w:rPr>
        <w:t>Article 30</w:t>
      </w:r>
      <w:r w:rsidR="00022B32" w:rsidRPr="00894342">
        <w:rPr>
          <w:b/>
        </w:rPr>
        <w:t xml:space="preserve"> – Limitation de responsabilité</w:t>
      </w:r>
      <w:r w:rsidR="00022B32">
        <w:t xml:space="preserve"> </w:t>
      </w:r>
    </w:p>
    <w:p w14:paraId="5095A1D2" w14:textId="77777777" w:rsidR="00894342" w:rsidRDefault="00894342" w:rsidP="008865FB">
      <w:pPr>
        <w:jc w:val="both"/>
        <w:sectPr w:rsidR="00894342" w:rsidSect="001B3B60">
          <w:type w:val="continuous"/>
          <w:pgSz w:w="11906" w:h="16838"/>
          <w:pgMar w:top="1417" w:right="1417" w:bottom="1417" w:left="1417" w:header="708" w:footer="708" w:gutter="0"/>
          <w:cols w:space="708"/>
          <w:docGrid w:linePitch="360"/>
        </w:sectPr>
      </w:pPr>
    </w:p>
    <w:p w14:paraId="6BF7A7EA" w14:textId="61F64DAD" w:rsidR="00894342" w:rsidRDefault="00022B32" w:rsidP="008865FB">
      <w:pPr>
        <w:jc w:val="both"/>
        <w:sectPr w:rsidR="00894342" w:rsidSect="00894342">
          <w:type w:val="continuous"/>
          <w:pgSz w:w="11906" w:h="16838"/>
          <w:pgMar w:top="1417" w:right="1417" w:bottom="1417" w:left="1417" w:header="708" w:footer="708" w:gutter="0"/>
          <w:cols w:num="2" w:space="708"/>
          <w:docGrid w:linePitch="360"/>
        </w:sectPr>
      </w:pPr>
      <w:r>
        <w:t xml:space="preserve">La responsabilité que l’organisateur est susceptible d’encourir, soit de son propre fait, fût-ce d’un préposé, soit du fait d’un tiers, quelle qu’en soit la cause, est limitée, tous dommages confondus, à la somme de </w:t>
      </w:r>
      <w:r w:rsidR="00603C3D">
        <w:t>…………….</w:t>
      </w:r>
      <w:r>
        <w:t xml:space="preserve"> augmentée d’une somme équivalente au montant de la participation de l’exposant considéré. Le montant de la participation tel que visé ci-dessus s’entend, définitivement, du montant hors taxes figurant sur la demande de participation signée par l’exposant, quelles que soient les circonstances postérieures, telle que la révision pouvant intervenir en application de l’article 7, ou la résolution du contrat. Dans </w:t>
      </w:r>
      <w:r>
        <w:t>l’hypothèse où l’exposant perçoit une indemnité en application du contrat d’assurance visé à l’article 18, cette indemnité réduit, à due concurrence, toute somme due par l’organisateur à l’exposant ; si une somme a déjà été payée par l’organisateur à l’exposant, ladite indemnité est reversée, à due concurrence, par l’exposant à l’organisateur. La présente clause s’applique alors même que le tiers ou le préposé dont l’organisateur aurait à répondre aurait commis une faute lourde, dolosive, ou même intentionnelle. La présente clause s’applique même e</w:t>
      </w:r>
      <w:r w:rsidR="001044B5">
        <w:t>n cas de résolution du contrat.</w:t>
      </w:r>
    </w:p>
    <w:p w14:paraId="36CC9096" w14:textId="0EB76428" w:rsidR="00603C3D" w:rsidRDefault="001044B5" w:rsidP="008865FB">
      <w:pPr>
        <w:jc w:val="both"/>
      </w:pPr>
      <w:r>
        <w:rPr>
          <w:b/>
        </w:rPr>
        <w:t>Article 31</w:t>
      </w:r>
      <w:r w:rsidR="00022B32" w:rsidRPr="00894342">
        <w:rPr>
          <w:b/>
        </w:rPr>
        <w:t xml:space="preserve"> – Contestations</w:t>
      </w:r>
      <w:r w:rsidR="00022B32">
        <w:t xml:space="preserve"> </w:t>
      </w:r>
      <w:r w:rsidR="00603C3D">
        <w:t>–</w:t>
      </w:r>
    </w:p>
    <w:p w14:paraId="21DE9A63" w14:textId="77777777" w:rsidR="00894342" w:rsidRDefault="00894342" w:rsidP="00A91BFF">
      <w:pPr>
        <w:jc w:val="both"/>
        <w:sectPr w:rsidR="00894342" w:rsidSect="001B3B60">
          <w:type w:val="continuous"/>
          <w:pgSz w:w="11906" w:h="16838"/>
          <w:pgMar w:top="1417" w:right="1417" w:bottom="1417" w:left="1417" w:header="708" w:footer="708" w:gutter="0"/>
          <w:cols w:space="708"/>
          <w:docGrid w:linePitch="360"/>
        </w:sectPr>
      </w:pPr>
    </w:p>
    <w:p w14:paraId="63C1A39F" w14:textId="291BC8FC" w:rsidR="00894342" w:rsidRPr="008C55B8" w:rsidRDefault="00022B32" w:rsidP="00A91BFF">
      <w:pPr>
        <w:jc w:val="both"/>
        <w:rPr>
          <w:b/>
          <w:color w:val="FF0000"/>
        </w:rPr>
        <w:sectPr w:rsidR="00894342" w:rsidRPr="008C55B8" w:rsidSect="00894342">
          <w:type w:val="continuous"/>
          <w:pgSz w:w="11906" w:h="16838"/>
          <w:pgMar w:top="1417" w:right="1417" w:bottom="1417" w:left="1417" w:header="708" w:footer="708" w:gutter="0"/>
          <w:cols w:num="2" w:space="708"/>
          <w:docGrid w:linePitch="360"/>
        </w:sectPr>
      </w:pPr>
      <w:r>
        <w:t xml:space="preserve">Prescription Dans le cas de contestation ou de différend, quel qu’en soit l’objet, l’exposant s’engage à soumettre sa réclamation à l’organisateur, avant toute procédure, par </w:t>
      </w:r>
      <w:r>
        <w:t xml:space="preserve">lettre recommandée avec accusé de réception. Toute action introduite avant l’expiration d’un délai de 15 jours suivant la réception de ladite lettre sera irrecevable. </w:t>
      </w:r>
    </w:p>
    <w:p w14:paraId="6C7F5AA9" w14:textId="77777777" w:rsidR="00A91BFF" w:rsidRDefault="00A91BFF" w:rsidP="00A91BFF">
      <w:pPr>
        <w:jc w:val="both"/>
      </w:pPr>
    </w:p>
    <w:p w14:paraId="6CC5EA78" w14:textId="77777777" w:rsidR="00A91BFF" w:rsidRDefault="00A91BFF" w:rsidP="00A91BFF">
      <w:pPr>
        <w:jc w:val="both"/>
      </w:pPr>
    </w:p>
    <w:p w14:paraId="7FC0FF24" w14:textId="77777777" w:rsidR="00A91BFF" w:rsidRDefault="00A91BFF" w:rsidP="00A91BFF">
      <w:pPr>
        <w:jc w:val="both"/>
      </w:pPr>
    </w:p>
    <w:p w14:paraId="2A090A88" w14:textId="77777777" w:rsidR="00A91BFF" w:rsidRDefault="00A91BFF" w:rsidP="00A91BFF">
      <w:pPr>
        <w:jc w:val="both"/>
      </w:pPr>
    </w:p>
    <w:p w14:paraId="37E5C006" w14:textId="77777777" w:rsidR="00A91BFF" w:rsidRDefault="00A91BFF" w:rsidP="00A91BFF">
      <w:pPr>
        <w:jc w:val="both"/>
      </w:pPr>
    </w:p>
    <w:p w14:paraId="3A1AACEB" w14:textId="77777777" w:rsidR="00A91BFF" w:rsidRDefault="00A91BFF" w:rsidP="00A91BFF">
      <w:pPr>
        <w:jc w:val="both"/>
      </w:pPr>
    </w:p>
    <w:p w14:paraId="2C688E8F" w14:textId="77777777" w:rsidR="00A91BFF" w:rsidRDefault="00A91BFF" w:rsidP="00A91BFF">
      <w:pPr>
        <w:jc w:val="both"/>
      </w:pPr>
    </w:p>
    <w:p w14:paraId="4231DFF6" w14:textId="77777777" w:rsidR="00A91BFF" w:rsidRDefault="00A91BFF" w:rsidP="00A91BFF">
      <w:pPr>
        <w:jc w:val="both"/>
      </w:pPr>
    </w:p>
    <w:p w14:paraId="0E69BC4F" w14:textId="77777777" w:rsidR="00A91BFF" w:rsidRDefault="00A91BFF" w:rsidP="00A91BFF">
      <w:pPr>
        <w:jc w:val="both"/>
      </w:pPr>
    </w:p>
    <w:p w14:paraId="0969D14F" w14:textId="77777777" w:rsidR="00A91BFF" w:rsidRDefault="00A91BFF" w:rsidP="00A91BFF">
      <w:pPr>
        <w:jc w:val="both"/>
      </w:pPr>
    </w:p>
    <w:p w14:paraId="3B8F766D" w14:textId="77777777" w:rsidR="00A91BFF" w:rsidRDefault="00A91BFF" w:rsidP="00A91BFF">
      <w:pPr>
        <w:jc w:val="both"/>
      </w:pPr>
    </w:p>
    <w:p w14:paraId="09BF0C51" w14:textId="77777777" w:rsidR="00A91BFF" w:rsidRDefault="00A91BFF" w:rsidP="00A91BFF">
      <w:pPr>
        <w:jc w:val="both"/>
      </w:pPr>
    </w:p>
    <w:p w14:paraId="0148354E" w14:textId="77777777" w:rsidR="00A91BFF" w:rsidRDefault="00A91BFF" w:rsidP="00A91BFF">
      <w:pPr>
        <w:jc w:val="both"/>
      </w:pPr>
    </w:p>
    <w:p w14:paraId="4A319573" w14:textId="77777777" w:rsidR="00A91BFF" w:rsidRDefault="00A91BFF" w:rsidP="00A91BFF">
      <w:pPr>
        <w:jc w:val="both"/>
      </w:pPr>
    </w:p>
    <w:p w14:paraId="6B3F4BBF" w14:textId="77777777" w:rsidR="00A91BFF" w:rsidRDefault="00A91BFF" w:rsidP="00A91BFF">
      <w:pPr>
        <w:jc w:val="both"/>
      </w:pPr>
    </w:p>
    <w:p w14:paraId="44BBEE88" w14:textId="77777777" w:rsidR="00A91BFF" w:rsidRDefault="00A91BFF" w:rsidP="008D6D03"/>
    <w:sectPr w:rsidR="00A91BFF" w:rsidSect="001B3B6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41EA0B" w14:textId="77777777" w:rsidR="00077152" w:rsidRDefault="00077152" w:rsidP="004254D4">
      <w:pPr>
        <w:spacing w:after="0" w:line="240" w:lineRule="auto"/>
      </w:pPr>
      <w:r>
        <w:separator/>
      </w:r>
    </w:p>
  </w:endnote>
  <w:endnote w:type="continuationSeparator" w:id="0">
    <w:p w14:paraId="5CE004B2" w14:textId="77777777" w:rsidR="00077152" w:rsidRDefault="00077152" w:rsidP="00425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FD1F4" w14:textId="77777777" w:rsidR="00A639AA" w:rsidRDefault="00A639AA" w:rsidP="00A639AA">
    <w:pPr>
      <w:pStyle w:val="Pieddepage"/>
      <w:jc w:val="center"/>
      <w:outlineLvl w:val="0"/>
      <w:rPr>
        <w:rFonts w:ascii="Arial" w:hAnsi="Arial" w:cs="Arial"/>
        <w:b/>
        <w:sz w:val="18"/>
        <w:szCs w:val="18"/>
      </w:rPr>
    </w:pPr>
    <w:r>
      <w:rPr>
        <w:rFonts w:ascii="Arial" w:hAnsi="Arial" w:cs="Arial"/>
        <w:b/>
        <w:sz w:val="18"/>
        <w:szCs w:val="18"/>
      </w:rPr>
      <w:t xml:space="preserve">VDN – Annexe Caisse de Sécurité Sociale Lot B – Immeuble ASPT - Tel : 33 869 61 90- </w:t>
    </w:r>
  </w:p>
  <w:p w14:paraId="7D6679F1" w14:textId="77777777" w:rsidR="00A639AA" w:rsidRDefault="00A639AA" w:rsidP="00A639AA">
    <w:pPr>
      <w:pStyle w:val="Pieddepage"/>
      <w:jc w:val="center"/>
    </w:pPr>
    <w:r>
      <w:rPr>
        <w:rFonts w:ascii="Arial" w:hAnsi="Arial" w:cs="Arial"/>
        <w:b/>
        <w:sz w:val="18"/>
        <w:szCs w:val="18"/>
      </w:rPr>
      <w:t>BP 29753 Dakar – Yoff – NINEA 005073771</w:t>
    </w:r>
  </w:p>
  <w:p w14:paraId="1E41A168" w14:textId="765A1E0D" w:rsidR="004254D4" w:rsidRPr="00A46133" w:rsidRDefault="004254D4" w:rsidP="00A46133">
    <w:pPr>
      <w:pStyle w:val="Pieddepage"/>
      <w:jc w:val="center"/>
      <w:rPr>
        <w:rFonts w:cstheme="minorHAns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BDAF4" w14:textId="77777777" w:rsidR="00077152" w:rsidRDefault="00077152" w:rsidP="004254D4">
      <w:pPr>
        <w:spacing w:after="0" w:line="240" w:lineRule="auto"/>
      </w:pPr>
      <w:r>
        <w:separator/>
      </w:r>
    </w:p>
  </w:footnote>
  <w:footnote w:type="continuationSeparator" w:id="0">
    <w:p w14:paraId="42E5900D" w14:textId="77777777" w:rsidR="00077152" w:rsidRDefault="00077152" w:rsidP="004254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C1B20" w14:textId="7BF7720E" w:rsidR="004254D4" w:rsidRDefault="00C82959" w:rsidP="00C82959">
    <w:pPr>
      <w:pStyle w:val="En-tte"/>
      <w:tabs>
        <w:tab w:val="clear" w:pos="4536"/>
        <w:tab w:val="clear" w:pos="9072"/>
        <w:tab w:val="left" w:pos="7628"/>
      </w:tabs>
    </w:pPr>
    <w:r>
      <w:rPr>
        <w:noProof/>
        <w:lang w:eastAsia="fr-FR"/>
      </w:rPr>
      <w:drawing>
        <wp:anchor distT="0" distB="0" distL="114300" distR="114300" simplePos="0" relativeHeight="251658240" behindDoc="0" locked="0" layoutInCell="1" allowOverlap="1" wp14:anchorId="57854BE1" wp14:editId="6B24EE2C">
          <wp:simplePos x="0" y="0"/>
          <wp:positionH relativeFrom="column">
            <wp:posOffset>-890270</wp:posOffset>
          </wp:positionH>
          <wp:positionV relativeFrom="paragraph">
            <wp:posOffset>-430530</wp:posOffset>
          </wp:positionV>
          <wp:extent cx="7532370" cy="1956435"/>
          <wp:effectExtent l="0" t="0" r="0" b="5715"/>
          <wp:wrapThrough wrapText="bothSides">
            <wp:wrapPolygon edited="0">
              <wp:start x="0" y="0"/>
              <wp:lineTo x="0" y="21453"/>
              <wp:lineTo x="21524" y="21453"/>
              <wp:lineTo x="21524"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ête smta.png"/>
                  <pic:cNvPicPr/>
                </pic:nvPicPr>
                <pic:blipFill>
                  <a:blip r:embed="rId1">
                    <a:extLst>
                      <a:ext uri="{28A0092B-C50C-407E-A947-70E740481C1C}">
                        <a14:useLocalDpi xmlns:a14="http://schemas.microsoft.com/office/drawing/2010/main" val="0"/>
                      </a:ext>
                    </a:extLst>
                  </a:blip>
                  <a:stretch>
                    <a:fillRect/>
                  </a:stretch>
                </pic:blipFill>
                <pic:spPr>
                  <a:xfrm>
                    <a:off x="0" y="0"/>
                    <a:ext cx="7532370" cy="1956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300C"/>
    <w:multiLevelType w:val="hybridMultilevel"/>
    <w:tmpl w:val="5BB0EFCA"/>
    <w:lvl w:ilvl="0" w:tplc="040C000B">
      <w:start w:val="1"/>
      <w:numFmt w:val="bullet"/>
      <w:lvlText w:val=""/>
      <w:lvlJc w:val="left"/>
      <w:pPr>
        <w:ind w:left="360" w:hanging="360"/>
      </w:pPr>
      <w:rPr>
        <w:rFonts w:ascii="Wingdings" w:hAnsi="Wingdings" w:hint="default"/>
      </w:rPr>
    </w:lvl>
    <w:lvl w:ilvl="1" w:tplc="D84EA4F4">
      <w:numFmt w:val="bullet"/>
      <w:lvlText w:val="-"/>
      <w:lvlJc w:val="left"/>
      <w:pPr>
        <w:ind w:left="1080" w:hanging="36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6DE5BE2"/>
    <w:multiLevelType w:val="hybridMultilevel"/>
    <w:tmpl w:val="0A442E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B90D70"/>
    <w:multiLevelType w:val="hybridMultilevel"/>
    <w:tmpl w:val="42504BAA"/>
    <w:lvl w:ilvl="0" w:tplc="040C000B">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69716BD7"/>
    <w:multiLevelType w:val="hybridMultilevel"/>
    <w:tmpl w:val="2B3E6B10"/>
    <w:lvl w:ilvl="0" w:tplc="8D161B9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B2C4E12"/>
    <w:multiLevelType w:val="hybridMultilevel"/>
    <w:tmpl w:val="CFC65A7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6F0C6367"/>
    <w:multiLevelType w:val="hybridMultilevel"/>
    <w:tmpl w:val="01822C96"/>
    <w:lvl w:ilvl="0" w:tplc="E28481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08210C"/>
    <w:multiLevelType w:val="multilevel"/>
    <w:tmpl w:val="F49A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D4"/>
    <w:rsid w:val="00022B32"/>
    <w:rsid w:val="00077152"/>
    <w:rsid w:val="000D1C4F"/>
    <w:rsid w:val="000D49B2"/>
    <w:rsid w:val="001044B5"/>
    <w:rsid w:val="001134DB"/>
    <w:rsid w:val="00151EB3"/>
    <w:rsid w:val="001B3B60"/>
    <w:rsid w:val="001C272C"/>
    <w:rsid w:val="00210DFA"/>
    <w:rsid w:val="00285C26"/>
    <w:rsid w:val="002A3C30"/>
    <w:rsid w:val="002B1C1D"/>
    <w:rsid w:val="0036663C"/>
    <w:rsid w:val="003666A0"/>
    <w:rsid w:val="00390083"/>
    <w:rsid w:val="003B1468"/>
    <w:rsid w:val="004254D4"/>
    <w:rsid w:val="004E3ABF"/>
    <w:rsid w:val="004F3BD4"/>
    <w:rsid w:val="00506A6A"/>
    <w:rsid w:val="00565BDF"/>
    <w:rsid w:val="005864DA"/>
    <w:rsid w:val="00603C3D"/>
    <w:rsid w:val="00610569"/>
    <w:rsid w:val="0067107A"/>
    <w:rsid w:val="007C5735"/>
    <w:rsid w:val="008865FB"/>
    <w:rsid w:val="00894342"/>
    <w:rsid w:val="008A035B"/>
    <w:rsid w:val="008A2436"/>
    <w:rsid w:val="008C55B8"/>
    <w:rsid w:val="008D6D03"/>
    <w:rsid w:val="008F7B42"/>
    <w:rsid w:val="0091405C"/>
    <w:rsid w:val="00971951"/>
    <w:rsid w:val="009A6DD6"/>
    <w:rsid w:val="009E12A1"/>
    <w:rsid w:val="00A46133"/>
    <w:rsid w:val="00A639AA"/>
    <w:rsid w:val="00A91BFF"/>
    <w:rsid w:val="00AB5DAD"/>
    <w:rsid w:val="00AC1EB1"/>
    <w:rsid w:val="00BE0187"/>
    <w:rsid w:val="00BE19E3"/>
    <w:rsid w:val="00BE72F2"/>
    <w:rsid w:val="00C82959"/>
    <w:rsid w:val="00D5755B"/>
    <w:rsid w:val="00D855B4"/>
    <w:rsid w:val="00DE5FD5"/>
    <w:rsid w:val="00E11A7D"/>
    <w:rsid w:val="00E441F1"/>
    <w:rsid w:val="00ED210A"/>
    <w:rsid w:val="00ED6D76"/>
    <w:rsid w:val="00F5576F"/>
    <w:rsid w:val="00FB0996"/>
    <w:rsid w:val="00FC05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93550"/>
  <w15:chartTrackingRefBased/>
  <w15:docId w15:val="{21179461-A628-456D-9489-8365F940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54D4"/>
    <w:pPr>
      <w:tabs>
        <w:tab w:val="center" w:pos="4536"/>
        <w:tab w:val="right" w:pos="9072"/>
      </w:tabs>
      <w:spacing w:after="0" w:line="240" w:lineRule="auto"/>
    </w:pPr>
  </w:style>
  <w:style w:type="character" w:customStyle="1" w:styleId="En-tteCar">
    <w:name w:val="En-tête Car"/>
    <w:basedOn w:val="Policepardfaut"/>
    <w:link w:val="En-tte"/>
    <w:uiPriority w:val="99"/>
    <w:rsid w:val="004254D4"/>
  </w:style>
  <w:style w:type="paragraph" w:styleId="Pieddepage">
    <w:name w:val="footer"/>
    <w:basedOn w:val="Normal"/>
    <w:link w:val="PieddepageCar"/>
    <w:uiPriority w:val="99"/>
    <w:unhideWhenUsed/>
    <w:rsid w:val="004254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54D4"/>
  </w:style>
  <w:style w:type="paragraph" w:customStyle="1" w:styleId="bold">
    <w:name w:val="bold"/>
    <w:basedOn w:val="Normal"/>
    <w:rsid w:val="004254D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4254D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46133"/>
    <w:rPr>
      <w:color w:val="0000FF"/>
      <w:u w:val="single"/>
    </w:rPr>
  </w:style>
  <w:style w:type="character" w:styleId="Rfrenceintense">
    <w:name w:val="Intense Reference"/>
    <w:basedOn w:val="Policepardfaut"/>
    <w:uiPriority w:val="32"/>
    <w:qFormat/>
    <w:rsid w:val="00A639AA"/>
    <w:rPr>
      <w:b/>
      <w:bCs/>
      <w:smallCaps/>
      <w:color w:val="4472C4" w:themeColor="accent1"/>
      <w:spacing w:val="5"/>
    </w:rPr>
  </w:style>
  <w:style w:type="paragraph" w:styleId="Paragraphedeliste">
    <w:name w:val="List Paragraph"/>
    <w:basedOn w:val="Normal"/>
    <w:uiPriority w:val="34"/>
    <w:qFormat/>
    <w:rsid w:val="00F5576F"/>
    <w:pPr>
      <w:ind w:left="720"/>
      <w:contextualSpacing/>
    </w:pPr>
  </w:style>
  <w:style w:type="paragraph" w:styleId="Textedebulles">
    <w:name w:val="Balloon Text"/>
    <w:basedOn w:val="Normal"/>
    <w:link w:val="TextedebullesCar"/>
    <w:uiPriority w:val="99"/>
    <w:semiHidden/>
    <w:unhideWhenUsed/>
    <w:rsid w:val="00565B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5B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292518">
      <w:bodyDiv w:val="1"/>
      <w:marLeft w:val="0"/>
      <w:marRight w:val="0"/>
      <w:marTop w:val="0"/>
      <w:marBottom w:val="0"/>
      <w:divBdr>
        <w:top w:val="none" w:sz="0" w:space="0" w:color="auto"/>
        <w:left w:val="none" w:sz="0" w:space="0" w:color="auto"/>
        <w:bottom w:val="none" w:sz="0" w:space="0" w:color="auto"/>
        <w:right w:val="none" w:sz="0" w:space="0" w:color="auto"/>
      </w:divBdr>
    </w:div>
    <w:div w:id="685643646">
      <w:bodyDiv w:val="1"/>
      <w:marLeft w:val="0"/>
      <w:marRight w:val="0"/>
      <w:marTop w:val="0"/>
      <w:marBottom w:val="0"/>
      <w:divBdr>
        <w:top w:val="none" w:sz="0" w:space="0" w:color="auto"/>
        <w:left w:val="none" w:sz="0" w:space="0" w:color="auto"/>
        <w:bottom w:val="none" w:sz="0" w:space="0" w:color="auto"/>
        <w:right w:val="none" w:sz="0" w:space="0" w:color="auto"/>
      </w:divBdr>
    </w:div>
    <w:div w:id="718286045">
      <w:bodyDiv w:val="1"/>
      <w:marLeft w:val="0"/>
      <w:marRight w:val="0"/>
      <w:marTop w:val="0"/>
      <w:marBottom w:val="0"/>
      <w:divBdr>
        <w:top w:val="none" w:sz="0" w:space="0" w:color="auto"/>
        <w:left w:val="none" w:sz="0" w:space="0" w:color="auto"/>
        <w:bottom w:val="none" w:sz="0" w:space="0" w:color="auto"/>
        <w:right w:val="none" w:sz="0" w:space="0" w:color="auto"/>
      </w:divBdr>
    </w:div>
    <w:div w:id="964387182">
      <w:bodyDiv w:val="1"/>
      <w:marLeft w:val="0"/>
      <w:marRight w:val="0"/>
      <w:marTop w:val="0"/>
      <w:marBottom w:val="0"/>
      <w:divBdr>
        <w:top w:val="none" w:sz="0" w:space="0" w:color="auto"/>
        <w:left w:val="none" w:sz="0" w:space="0" w:color="auto"/>
        <w:bottom w:val="none" w:sz="0" w:space="0" w:color="auto"/>
        <w:right w:val="none" w:sz="0" w:space="0" w:color="auto"/>
      </w:divBdr>
    </w:div>
    <w:div w:id="18069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3DAB7-82C3-4DA8-BE53-E433D27B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3824</Words>
  <Characters>21038</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bayeganadiop@gmail.com</dc:creator>
  <cp:keywords/>
  <dc:description/>
  <cp:lastModifiedBy>BABACAR SECK</cp:lastModifiedBy>
  <cp:revision>20</cp:revision>
  <cp:lastPrinted>2025-11-03T10:12:00Z</cp:lastPrinted>
  <dcterms:created xsi:type="dcterms:W3CDTF">2025-10-28T15:15:00Z</dcterms:created>
  <dcterms:modified xsi:type="dcterms:W3CDTF">2025-11-14T16:37:00Z</dcterms:modified>
</cp:coreProperties>
</file>